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BFF" w:rsidRPr="00B5472F" w:rsidRDefault="00447BFF" w:rsidP="00447BFF">
      <w:pPr>
        <w:pStyle w:val="Cmsor1"/>
      </w:pPr>
      <w:bookmarkStart w:id="0" w:name="_Toc52787393"/>
      <w:bookmarkStart w:id="1" w:name="_Toc88656142"/>
      <w:r w:rsidRPr="00B5472F">
        <w:t xml:space="preserve">.../2021. (...) HATÁROZAT 3. MELLÉKLETE: </w:t>
      </w:r>
      <w:r>
        <w:t>A TELEPÜLÉS</w:t>
      </w:r>
      <w:r w:rsidRPr="00B5472F">
        <w:t xml:space="preserve"> TERÜLETI MÉRLEG</w:t>
      </w:r>
      <w:bookmarkEnd w:id="0"/>
      <w:r>
        <w:t>E</w:t>
      </w:r>
      <w:bookmarkEnd w:id="1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66"/>
        <w:gridCol w:w="1399"/>
        <w:gridCol w:w="1397"/>
      </w:tblGrid>
      <w:tr w:rsidR="00447BFF" w:rsidRPr="007624A1" w:rsidTr="00E06D87">
        <w:trPr>
          <w:trHeight w:val="31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:rsidR="00447BFF" w:rsidRPr="007624A1" w:rsidRDefault="00447BFF" w:rsidP="00E06D8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624A1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Területi mérleg a tervezett településszerkezeti terv szerint</w:t>
            </w:r>
          </w:p>
        </w:tc>
      </w:tr>
      <w:tr w:rsidR="00447BFF" w:rsidRPr="007624A1" w:rsidTr="00E06D87">
        <w:trPr>
          <w:trHeight w:val="600"/>
        </w:trPr>
        <w:tc>
          <w:tcPr>
            <w:tcW w:w="3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447BFF" w:rsidRPr="007624A1" w:rsidRDefault="00447BFF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624A1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Területfelhasználási egység megnevezése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447BFF" w:rsidRPr="007624A1" w:rsidRDefault="00447BFF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624A1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Rövid jelölése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447BFF" w:rsidRPr="007624A1" w:rsidRDefault="00447BFF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624A1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Terület (ha)</w:t>
            </w:r>
          </w:p>
        </w:tc>
      </w:tr>
      <w:tr w:rsidR="00447BFF" w:rsidRPr="007624A1" w:rsidTr="00E06D87">
        <w:trPr>
          <w:trHeight w:val="31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447BFF" w:rsidRPr="007624A1" w:rsidRDefault="00447BFF" w:rsidP="00E06D8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624A1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Beépítésre szánt területek</w:t>
            </w:r>
          </w:p>
        </w:tc>
      </w:tr>
      <w:tr w:rsidR="00447BFF" w:rsidRPr="007624A1" w:rsidTr="00E06D87">
        <w:trPr>
          <w:trHeight w:val="315"/>
        </w:trPr>
        <w:tc>
          <w:tcPr>
            <w:tcW w:w="3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BFF" w:rsidRPr="007624A1" w:rsidRDefault="00447BFF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624A1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Kisvárosias lakóterület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BFF" w:rsidRPr="007624A1" w:rsidRDefault="00447BFF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624A1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Lk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BFF" w:rsidRPr="007624A1" w:rsidRDefault="00447BFF" w:rsidP="00E06D8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hu-HU"/>
              </w:rPr>
            </w:pPr>
            <w:r w:rsidRPr="007624A1">
              <w:rPr>
                <w:rFonts w:ascii="Calibri" w:eastAsia="Times New Roman" w:hAnsi="Calibri" w:cs="Times New Roman"/>
                <w:color w:val="000000"/>
                <w:sz w:val="22"/>
                <w:lang w:eastAsia="hu-HU"/>
              </w:rPr>
              <w:t>0,40</w:t>
            </w:r>
          </w:p>
        </w:tc>
      </w:tr>
      <w:tr w:rsidR="00447BFF" w:rsidRPr="007624A1" w:rsidTr="00E06D87">
        <w:trPr>
          <w:trHeight w:val="315"/>
        </w:trPr>
        <w:tc>
          <w:tcPr>
            <w:tcW w:w="3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BFF" w:rsidRPr="007624A1" w:rsidRDefault="00447BFF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624A1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Kertvárosias lakóterület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BFF" w:rsidRPr="007624A1" w:rsidRDefault="00447BFF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624A1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Lke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BFF" w:rsidRPr="007624A1" w:rsidRDefault="00447BFF" w:rsidP="00E06D8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hu-HU"/>
              </w:rPr>
            </w:pPr>
            <w:r w:rsidRPr="007624A1">
              <w:rPr>
                <w:rFonts w:ascii="Calibri" w:eastAsia="Times New Roman" w:hAnsi="Calibri" w:cs="Times New Roman"/>
                <w:color w:val="000000"/>
                <w:sz w:val="22"/>
                <w:lang w:eastAsia="hu-HU"/>
              </w:rPr>
              <w:t>0,78</w:t>
            </w:r>
          </w:p>
        </w:tc>
      </w:tr>
      <w:tr w:rsidR="00447BFF" w:rsidRPr="007624A1" w:rsidTr="00E06D87">
        <w:trPr>
          <w:trHeight w:val="315"/>
        </w:trPr>
        <w:tc>
          <w:tcPr>
            <w:tcW w:w="3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BFF" w:rsidRPr="007624A1" w:rsidRDefault="00447BFF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624A1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Falusias lakóterület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BFF" w:rsidRPr="007624A1" w:rsidRDefault="00447BFF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624A1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Lf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BFF" w:rsidRPr="007624A1" w:rsidRDefault="00447BFF" w:rsidP="00E06D8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hu-HU"/>
              </w:rPr>
            </w:pPr>
            <w:r w:rsidRPr="007624A1">
              <w:rPr>
                <w:rFonts w:ascii="Calibri" w:eastAsia="Times New Roman" w:hAnsi="Calibri" w:cs="Times New Roman"/>
                <w:color w:val="000000"/>
                <w:sz w:val="22"/>
                <w:lang w:eastAsia="hu-HU"/>
              </w:rPr>
              <w:t>337,90</w:t>
            </w:r>
          </w:p>
        </w:tc>
      </w:tr>
      <w:tr w:rsidR="00447BFF" w:rsidRPr="007624A1" w:rsidTr="00E06D87">
        <w:trPr>
          <w:trHeight w:val="315"/>
        </w:trPr>
        <w:tc>
          <w:tcPr>
            <w:tcW w:w="3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BFF" w:rsidRPr="007624A1" w:rsidRDefault="00447BFF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624A1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Településközpont vegyes terület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BFF" w:rsidRPr="007624A1" w:rsidRDefault="00447BFF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624A1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Vt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BFF" w:rsidRPr="007624A1" w:rsidRDefault="00447BFF" w:rsidP="00E06D8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hu-HU"/>
              </w:rPr>
            </w:pPr>
            <w:r w:rsidRPr="007624A1">
              <w:rPr>
                <w:rFonts w:ascii="Calibri" w:eastAsia="Times New Roman" w:hAnsi="Calibri" w:cs="Times New Roman"/>
                <w:color w:val="000000"/>
                <w:sz w:val="22"/>
                <w:lang w:eastAsia="hu-HU"/>
              </w:rPr>
              <w:t>19,43</w:t>
            </w:r>
          </w:p>
        </w:tc>
      </w:tr>
      <w:tr w:rsidR="00447BFF" w:rsidRPr="007624A1" w:rsidTr="00E06D87">
        <w:trPr>
          <w:trHeight w:val="315"/>
        </w:trPr>
        <w:tc>
          <w:tcPr>
            <w:tcW w:w="3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BFF" w:rsidRPr="007624A1" w:rsidRDefault="00447BFF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624A1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Kereskedelmi, szolgáltató gazdasági terület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BFF" w:rsidRPr="007624A1" w:rsidRDefault="00447BFF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624A1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Gksz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BFF" w:rsidRPr="007624A1" w:rsidRDefault="00447BFF" w:rsidP="00E06D8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hu-HU"/>
              </w:rPr>
            </w:pPr>
            <w:r w:rsidRPr="007624A1">
              <w:rPr>
                <w:rFonts w:ascii="Calibri" w:eastAsia="Times New Roman" w:hAnsi="Calibri" w:cs="Times New Roman"/>
                <w:color w:val="000000"/>
                <w:sz w:val="22"/>
                <w:lang w:eastAsia="hu-HU"/>
              </w:rPr>
              <w:t>36,69</w:t>
            </w:r>
          </w:p>
        </w:tc>
      </w:tr>
      <w:tr w:rsidR="00447BFF" w:rsidRPr="007624A1" w:rsidTr="00E06D87">
        <w:trPr>
          <w:trHeight w:val="315"/>
        </w:trPr>
        <w:tc>
          <w:tcPr>
            <w:tcW w:w="3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BFF" w:rsidRPr="007624A1" w:rsidRDefault="00447BFF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624A1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Ipari gazdasági terület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BFF" w:rsidRPr="007624A1" w:rsidRDefault="00447BFF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624A1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Gip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BFF" w:rsidRPr="007624A1" w:rsidRDefault="00447BFF" w:rsidP="00E06D8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hu-HU"/>
              </w:rPr>
            </w:pPr>
            <w:r w:rsidRPr="007624A1">
              <w:rPr>
                <w:rFonts w:ascii="Calibri" w:eastAsia="Times New Roman" w:hAnsi="Calibri" w:cs="Times New Roman"/>
                <w:color w:val="000000"/>
                <w:sz w:val="22"/>
                <w:lang w:eastAsia="hu-HU"/>
              </w:rPr>
              <w:t>95,53</w:t>
            </w:r>
          </w:p>
        </w:tc>
      </w:tr>
      <w:tr w:rsidR="00447BFF" w:rsidRPr="007624A1" w:rsidTr="00E06D87">
        <w:trPr>
          <w:trHeight w:val="315"/>
        </w:trPr>
        <w:tc>
          <w:tcPr>
            <w:tcW w:w="3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BFF" w:rsidRPr="007624A1" w:rsidRDefault="00447BFF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624A1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Üdülőházas terület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BFF" w:rsidRPr="007624A1" w:rsidRDefault="00447BFF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624A1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Üü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BFF" w:rsidRPr="007624A1" w:rsidRDefault="00447BFF" w:rsidP="00E06D8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hu-HU"/>
              </w:rPr>
            </w:pPr>
            <w:r w:rsidRPr="007624A1">
              <w:rPr>
                <w:rFonts w:ascii="Calibri" w:eastAsia="Times New Roman" w:hAnsi="Calibri" w:cs="Times New Roman"/>
                <w:color w:val="000000"/>
                <w:sz w:val="22"/>
                <w:lang w:eastAsia="hu-HU"/>
              </w:rPr>
              <w:t>4,25</w:t>
            </w:r>
          </w:p>
        </w:tc>
      </w:tr>
      <w:tr w:rsidR="00447BFF" w:rsidRPr="007624A1" w:rsidTr="00E06D87">
        <w:trPr>
          <w:trHeight w:val="315"/>
        </w:trPr>
        <w:tc>
          <w:tcPr>
            <w:tcW w:w="3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BFF" w:rsidRPr="007624A1" w:rsidRDefault="00447BFF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624A1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Hétvégiházas terület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BFF" w:rsidRPr="007624A1" w:rsidRDefault="00447BFF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624A1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Üh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BFF" w:rsidRPr="007624A1" w:rsidRDefault="00447BFF" w:rsidP="00E06D8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hu-HU"/>
              </w:rPr>
            </w:pPr>
            <w:r w:rsidRPr="007624A1">
              <w:rPr>
                <w:rFonts w:ascii="Calibri" w:eastAsia="Times New Roman" w:hAnsi="Calibri" w:cs="Times New Roman"/>
                <w:color w:val="000000"/>
                <w:sz w:val="22"/>
                <w:lang w:eastAsia="hu-HU"/>
              </w:rPr>
              <w:t>1,67</w:t>
            </w:r>
          </w:p>
        </w:tc>
      </w:tr>
      <w:tr w:rsidR="00447BFF" w:rsidRPr="007624A1" w:rsidTr="00E06D87">
        <w:trPr>
          <w:trHeight w:val="315"/>
        </w:trPr>
        <w:tc>
          <w:tcPr>
            <w:tcW w:w="3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BFF" w:rsidRPr="007624A1" w:rsidRDefault="00447BFF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624A1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Különleges közműterület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BFF" w:rsidRPr="007624A1" w:rsidRDefault="00447BFF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624A1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K-köz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BFF" w:rsidRPr="007624A1" w:rsidRDefault="00447BFF" w:rsidP="00E06D8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hu-HU"/>
              </w:rPr>
            </w:pPr>
            <w:r w:rsidRPr="007624A1">
              <w:rPr>
                <w:rFonts w:ascii="Calibri" w:eastAsia="Times New Roman" w:hAnsi="Calibri" w:cs="Times New Roman"/>
                <w:color w:val="000000"/>
                <w:sz w:val="22"/>
                <w:lang w:eastAsia="hu-HU"/>
              </w:rPr>
              <w:t>7,73</w:t>
            </w:r>
          </w:p>
        </w:tc>
      </w:tr>
      <w:tr w:rsidR="00447BFF" w:rsidRPr="007624A1" w:rsidTr="00E06D87">
        <w:trPr>
          <w:trHeight w:val="315"/>
        </w:trPr>
        <w:tc>
          <w:tcPr>
            <w:tcW w:w="3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BFF" w:rsidRPr="007624A1" w:rsidRDefault="00447BFF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624A1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Különleges mezőgazdasági üzemi terület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BFF" w:rsidRPr="007624A1" w:rsidRDefault="00447BFF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624A1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K-mü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BFF" w:rsidRPr="007624A1" w:rsidRDefault="00447BFF" w:rsidP="00E06D8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hu-HU"/>
              </w:rPr>
            </w:pPr>
            <w:r w:rsidRPr="007624A1">
              <w:rPr>
                <w:rFonts w:ascii="Calibri" w:eastAsia="Times New Roman" w:hAnsi="Calibri" w:cs="Times New Roman"/>
                <w:color w:val="000000"/>
                <w:sz w:val="22"/>
                <w:lang w:eastAsia="hu-HU"/>
              </w:rPr>
              <w:t>130,24</w:t>
            </w:r>
          </w:p>
        </w:tc>
      </w:tr>
      <w:tr w:rsidR="00447BFF" w:rsidRPr="007624A1" w:rsidTr="00E06D87">
        <w:trPr>
          <w:trHeight w:val="315"/>
        </w:trPr>
        <w:tc>
          <w:tcPr>
            <w:tcW w:w="3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BFF" w:rsidRPr="007624A1" w:rsidRDefault="00447BFF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624A1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Különleges megújuló energia-hasznosítási terület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BFF" w:rsidRPr="007624A1" w:rsidRDefault="00447BFF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624A1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K-en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BFF" w:rsidRPr="007624A1" w:rsidRDefault="00447BFF" w:rsidP="00E06D8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hu-HU"/>
              </w:rPr>
            </w:pPr>
            <w:r w:rsidRPr="007624A1">
              <w:rPr>
                <w:rFonts w:ascii="Calibri" w:eastAsia="Times New Roman" w:hAnsi="Calibri" w:cs="Times New Roman"/>
                <w:color w:val="000000"/>
                <w:sz w:val="22"/>
                <w:lang w:eastAsia="hu-HU"/>
              </w:rPr>
              <w:t>2,33</w:t>
            </w:r>
          </w:p>
        </w:tc>
      </w:tr>
      <w:tr w:rsidR="00447BFF" w:rsidRPr="007624A1" w:rsidTr="00E06D87">
        <w:trPr>
          <w:trHeight w:val="315"/>
        </w:trPr>
        <w:tc>
          <w:tcPr>
            <w:tcW w:w="3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BFF" w:rsidRPr="007624A1" w:rsidRDefault="00447BFF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624A1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Különleges sportolási célú terület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BFF" w:rsidRPr="007624A1" w:rsidRDefault="00447BFF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624A1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K-sp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BFF" w:rsidRPr="007624A1" w:rsidRDefault="00447BFF" w:rsidP="00E06D8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hu-HU"/>
              </w:rPr>
            </w:pPr>
            <w:r w:rsidRPr="007624A1">
              <w:rPr>
                <w:rFonts w:ascii="Calibri" w:eastAsia="Times New Roman" w:hAnsi="Calibri" w:cs="Times New Roman"/>
                <w:color w:val="000000"/>
                <w:sz w:val="22"/>
                <w:lang w:eastAsia="hu-HU"/>
              </w:rPr>
              <w:t>7,02</w:t>
            </w:r>
          </w:p>
        </w:tc>
      </w:tr>
      <w:tr w:rsidR="00447BFF" w:rsidRPr="007624A1" w:rsidTr="00E06D87">
        <w:trPr>
          <w:trHeight w:val="315"/>
        </w:trPr>
        <w:tc>
          <w:tcPr>
            <w:tcW w:w="3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BFF" w:rsidRPr="007624A1" w:rsidRDefault="00447BFF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624A1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Különleges strand terület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BFF" w:rsidRPr="007624A1" w:rsidRDefault="00447BFF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624A1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K-st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BFF" w:rsidRPr="007624A1" w:rsidRDefault="00447BFF" w:rsidP="00E06D8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hu-HU"/>
              </w:rPr>
            </w:pPr>
            <w:r w:rsidRPr="007624A1">
              <w:rPr>
                <w:rFonts w:ascii="Calibri" w:eastAsia="Times New Roman" w:hAnsi="Calibri" w:cs="Times New Roman"/>
                <w:color w:val="000000"/>
                <w:sz w:val="22"/>
                <w:lang w:eastAsia="hu-HU"/>
              </w:rPr>
              <w:t>4,12</w:t>
            </w:r>
          </w:p>
        </w:tc>
      </w:tr>
      <w:tr w:rsidR="00447BFF" w:rsidRPr="007624A1" w:rsidTr="00E06D87">
        <w:trPr>
          <w:trHeight w:val="31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447BFF" w:rsidRPr="007624A1" w:rsidRDefault="00447BFF" w:rsidP="00E06D8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624A1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Beépítésre nem szánt területek</w:t>
            </w:r>
          </w:p>
        </w:tc>
      </w:tr>
      <w:tr w:rsidR="00447BFF" w:rsidRPr="007624A1" w:rsidTr="00E06D87">
        <w:trPr>
          <w:trHeight w:val="315"/>
        </w:trPr>
        <w:tc>
          <w:tcPr>
            <w:tcW w:w="3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BFF" w:rsidRPr="007624A1" w:rsidRDefault="00447BFF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624A1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Közúti közlekedési terület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BFF" w:rsidRPr="007624A1" w:rsidRDefault="00447BFF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624A1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Köu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BFF" w:rsidRPr="007624A1" w:rsidRDefault="00447BFF" w:rsidP="00E06D8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hu-HU"/>
              </w:rPr>
            </w:pPr>
            <w:r w:rsidRPr="007624A1">
              <w:rPr>
                <w:rFonts w:ascii="Calibri" w:eastAsia="Times New Roman" w:hAnsi="Calibri" w:cs="Times New Roman"/>
                <w:color w:val="000000"/>
                <w:sz w:val="22"/>
                <w:lang w:eastAsia="hu-HU"/>
              </w:rPr>
              <w:t>351,55</w:t>
            </w:r>
          </w:p>
        </w:tc>
      </w:tr>
      <w:tr w:rsidR="00447BFF" w:rsidRPr="007624A1" w:rsidTr="00E06D87">
        <w:trPr>
          <w:trHeight w:val="315"/>
        </w:trPr>
        <w:tc>
          <w:tcPr>
            <w:tcW w:w="3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BFF" w:rsidRPr="007624A1" w:rsidRDefault="00447BFF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624A1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Kötöttpályás közlekedési terület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BFF" w:rsidRPr="007624A1" w:rsidRDefault="00447BFF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624A1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Kök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BFF" w:rsidRPr="007624A1" w:rsidRDefault="00447BFF" w:rsidP="00E06D8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hu-HU"/>
              </w:rPr>
            </w:pPr>
            <w:r w:rsidRPr="007624A1">
              <w:rPr>
                <w:rFonts w:ascii="Calibri" w:eastAsia="Times New Roman" w:hAnsi="Calibri" w:cs="Times New Roman"/>
                <w:color w:val="000000"/>
                <w:sz w:val="22"/>
                <w:lang w:eastAsia="hu-HU"/>
              </w:rPr>
              <w:t>27,19</w:t>
            </w:r>
          </w:p>
        </w:tc>
      </w:tr>
      <w:tr w:rsidR="00447BFF" w:rsidRPr="007624A1" w:rsidTr="00E06D87">
        <w:trPr>
          <w:trHeight w:val="315"/>
        </w:trPr>
        <w:tc>
          <w:tcPr>
            <w:tcW w:w="3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BFF" w:rsidRPr="007624A1" w:rsidRDefault="00447BFF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624A1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Zöldterület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BFF" w:rsidRPr="007624A1" w:rsidRDefault="00447BFF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624A1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Z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BFF" w:rsidRPr="007624A1" w:rsidRDefault="00447BFF" w:rsidP="00E06D8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hu-HU"/>
              </w:rPr>
            </w:pPr>
            <w:r w:rsidRPr="007624A1">
              <w:rPr>
                <w:rFonts w:ascii="Calibri" w:eastAsia="Times New Roman" w:hAnsi="Calibri" w:cs="Times New Roman"/>
                <w:color w:val="000000"/>
                <w:sz w:val="22"/>
                <w:lang w:eastAsia="hu-HU"/>
              </w:rPr>
              <w:t>9,32</w:t>
            </w:r>
          </w:p>
        </w:tc>
      </w:tr>
      <w:tr w:rsidR="00447BFF" w:rsidRPr="007624A1" w:rsidTr="00E06D87">
        <w:trPr>
          <w:trHeight w:val="315"/>
        </w:trPr>
        <w:tc>
          <w:tcPr>
            <w:tcW w:w="3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BFF" w:rsidRPr="007624A1" w:rsidRDefault="00447BFF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624A1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Vízgazdálkodási terület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BFF" w:rsidRPr="007624A1" w:rsidRDefault="00447BFF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624A1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BFF" w:rsidRPr="007624A1" w:rsidRDefault="00447BFF" w:rsidP="00E06D8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hu-HU"/>
              </w:rPr>
            </w:pPr>
            <w:r w:rsidRPr="007624A1">
              <w:rPr>
                <w:rFonts w:ascii="Calibri" w:eastAsia="Times New Roman" w:hAnsi="Calibri" w:cs="Times New Roman"/>
                <w:color w:val="000000"/>
                <w:sz w:val="22"/>
                <w:lang w:eastAsia="hu-HU"/>
              </w:rPr>
              <w:t>454,45</w:t>
            </w:r>
          </w:p>
        </w:tc>
      </w:tr>
      <w:tr w:rsidR="00447BFF" w:rsidRPr="007624A1" w:rsidTr="00E06D87">
        <w:trPr>
          <w:trHeight w:val="315"/>
        </w:trPr>
        <w:tc>
          <w:tcPr>
            <w:tcW w:w="3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BFF" w:rsidRPr="007624A1" w:rsidRDefault="00447BFF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624A1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Védelmi erdőterület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BFF" w:rsidRPr="007624A1" w:rsidRDefault="00447BFF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624A1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BFF" w:rsidRPr="007624A1" w:rsidRDefault="00447BFF" w:rsidP="00E06D8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hu-HU"/>
              </w:rPr>
            </w:pPr>
            <w:r w:rsidRPr="007624A1">
              <w:rPr>
                <w:rFonts w:ascii="Calibri" w:eastAsia="Times New Roman" w:hAnsi="Calibri" w:cs="Times New Roman"/>
                <w:color w:val="000000"/>
                <w:sz w:val="22"/>
                <w:lang w:eastAsia="hu-HU"/>
              </w:rPr>
              <w:t>136,75</w:t>
            </w:r>
          </w:p>
        </w:tc>
      </w:tr>
      <w:tr w:rsidR="00447BFF" w:rsidRPr="007624A1" w:rsidTr="00E06D87">
        <w:trPr>
          <w:trHeight w:val="315"/>
        </w:trPr>
        <w:tc>
          <w:tcPr>
            <w:tcW w:w="3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BFF" w:rsidRPr="007624A1" w:rsidRDefault="00447BFF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624A1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Gazdasági erdőterület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BFF" w:rsidRPr="007624A1" w:rsidRDefault="00447BFF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624A1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Eg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BFF" w:rsidRPr="007624A1" w:rsidRDefault="00447BFF" w:rsidP="00E06D8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hu-HU"/>
              </w:rPr>
            </w:pPr>
            <w:r w:rsidRPr="007624A1">
              <w:rPr>
                <w:rFonts w:ascii="Calibri" w:eastAsia="Times New Roman" w:hAnsi="Calibri" w:cs="Times New Roman"/>
                <w:color w:val="000000"/>
                <w:sz w:val="22"/>
                <w:lang w:eastAsia="hu-HU"/>
              </w:rPr>
              <w:t>1140,63</w:t>
            </w:r>
          </w:p>
        </w:tc>
      </w:tr>
      <w:tr w:rsidR="00447BFF" w:rsidRPr="007624A1" w:rsidTr="00E06D87">
        <w:trPr>
          <w:trHeight w:val="315"/>
        </w:trPr>
        <w:tc>
          <w:tcPr>
            <w:tcW w:w="3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BFF" w:rsidRPr="007624A1" w:rsidRDefault="00447BFF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624A1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Általános mezőgazdasági terület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BFF" w:rsidRPr="007624A1" w:rsidRDefault="00447BFF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624A1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Má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BFF" w:rsidRPr="007624A1" w:rsidRDefault="00447BFF" w:rsidP="00E06D8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hu-HU"/>
              </w:rPr>
            </w:pPr>
            <w:r w:rsidRPr="007624A1">
              <w:rPr>
                <w:rFonts w:ascii="Calibri" w:eastAsia="Times New Roman" w:hAnsi="Calibri" w:cs="Times New Roman"/>
                <w:color w:val="000000"/>
                <w:sz w:val="22"/>
                <w:lang w:eastAsia="hu-HU"/>
              </w:rPr>
              <w:t>9595,38</w:t>
            </w:r>
          </w:p>
        </w:tc>
      </w:tr>
      <w:tr w:rsidR="00447BFF" w:rsidRPr="007624A1" w:rsidTr="00E06D87">
        <w:trPr>
          <w:trHeight w:val="315"/>
        </w:trPr>
        <w:tc>
          <w:tcPr>
            <w:tcW w:w="3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BFF" w:rsidRPr="007624A1" w:rsidRDefault="00447BFF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624A1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Kertes mezőgazdasági terület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BFF" w:rsidRPr="007624A1" w:rsidRDefault="00447BFF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624A1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Mk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BFF" w:rsidRPr="007624A1" w:rsidRDefault="00447BFF" w:rsidP="00E06D8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hu-HU"/>
              </w:rPr>
            </w:pPr>
            <w:r w:rsidRPr="007624A1">
              <w:rPr>
                <w:rFonts w:ascii="Calibri" w:eastAsia="Times New Roman" w:hAnsi="Calibri" w:cs="Times New Roman"/>
                <w:color w:val="000000"/>
                <w:sz w:val="22"/>
                <w:lang w:eastAsia="hu-HU"/>
              </w:rPr>
              <w:t>338,70</w:t>
            </w:r>
          </w:p>
        </w:tc>
      </w:tr>
      <w:tr w:rsidR="00447BFF" w:rsidRPr="007624A1" w:rsidTr="00E06D87">
        <w:trPr>
          <w:trHeight w:val="315"/>
        </w:trPr>
        <w:tc>
          <w:tcPr>
            <w:tcW w:w="3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BFF" w:rsidRPr="007624A1" w:rsidRDefault="00447BFF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624A1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Különleges kegyeleti park terület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BFF" w:rsidRPr="007624A1" w:rsidRDefault="00447BFF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624A1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K-kp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BFF" w:rsidRPr="007624A1" w:rsidRDefault="00447BFF" w:rsidP="00E06D8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hu-HU"/>
              </w:rPr>
            </w:pPr>
            <w:r w:rsidRPr="007624A1">
              <w:rPr>
                <w:rFonts w:ascii="Calibri" w:eastAsia="Times New Roman" w:hAnsi="Calibri" w:cs="Times New Roman"/>
                <w:color w:val="000000"/>
                <w:sz w:val="22"/>
                <w:lang w:eastAsia="hu-HU"/>
              </w:rPr>
              <w:t>3,96</w:t>
            </w:r>
          </w:p>
        </w:tc>
      </w:tr>
      <w:tr w:rsidR="00447BFF" w:rsidRPr="007624A1" w:rsidTr="00E06D87">
        <w:trPr>
          <w:trHeight w:val="315"/>
        </w:trPr>
        <w:tc>
          <w:tcPr>
            <w:tcW w:w="3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BFF" w:rsidRPr="007624A1" w:rsidRDefault="00447BFF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624A1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Különleges temető terület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BFF" w:rsidRPr="007624A1" w:rsidRDefault="00447BFF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624A1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K-tem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BFF" w:rsidRPr="007624A1" w:rsidRDefault="00447BFF" w:rsidP="00E06D8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hu-HU"/>
              </w:rPr>
            </w:pPr>
            <w:r w:rsidRPr="007624A1">
              <w:rPr>
                <w:rFonts w:ascii="Calibri" w:eastAsia="Times New Roman" w:hAnsi="Calibri" w:cs="Times New Roman"/>
                <w:color w:val="000000"/>
                <w:sz w:val="22"/>
                <w:lang w:eastAsia="hu-HU"/>
              </w:rPr>
              <w:t>10,00</w:t>
            </w:r>
          </w:p>
        </w:tc>
      </w:tr>
      <w:tr w:rsidR="00447BFF" w:rsidRPr="007624A1" w:rsidTr="00E06D87">
        <w:trPr>
          <w:trHeight w:val="315"/>
        </w:trPr>
        <w:tc>
          <w:tcPr>
            <w:tcW w:w="3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BFF" w:rsidRPr="007624A1" w:rsidRDefault="00447BFF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624A1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Különleges horgászati hasznosítású terület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BFF" w:rsidRPr="007624A1" w:rsidRDefault="00447BFF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624A1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K-ho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BFF" w:rsidRPr="007624A1" w:rsidRDefault="00447BFF" w:rsidP="00E06D8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hu-HU"/>
              </w:rPr>
            </w:pPr>
            <w:r w:rsidRPr="007624A1">
              <w:rPr>
                <w:rFonts w:ascii="Calibri" w:eastAsia="Times New Roman" w:hAnsi="Calibri" w:cs="Times New Roman"/>
                <w:color w:val="000000"/>
                <w:sz w:val="22"/>
                <w:lang w:eastAsia="hu-HU"/>
              </w:rPr>
              <w:t>9,58</w:t>
            </w:r>
          </w:p>
        </w:tc>
      </w:tr>
      <w:tr w:rsidR="00447BFF" w:rsidRPr="007624A1" w:rsidTr="00E06D87">
        <w:trPr>
          <w:trHeight w:val="600"/>
        </w:trPr>
        <w:tc>
          <w:tcPr>
            <w:tcW w:w="3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BFF" w:rsidRPr="007624A1" w:rsidRDefault="00447BFF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624A1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Különleges megújuló energia-hasznosítási beépítésre nem szánt terület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BFF" w:rsidRPr="007624A1" w:rsidRDefault="00447BFF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</w:pPr>
            <w:r w:rsidRPr="007624A1">
              <w:rPr>
                <w:rFonts w:eastAsia="Times New Roman" w:cs="Times New Roman"/>
                <w:color w:val="000000"/>
                <w:sz w:val="20"/>
                <w:szCs w:val="20"/>
                <w:lang w:eastAsia="hu-HU"/>
              </w:rPr>
              <w:t>K-enb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BFF" w:rsidRPr="007624A1" w:rsidRDefault="00447BFF" w:rsidP="00E06D87">
            <w:pPr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hu-HU"/>
              </w:rPr>
            </w:pPr>
            <w:r w:rsidRPr="007624A1">
              <w:rPr>
                <w:rFonts w:ascii="Calibri" w:eastAsia="Times New Roman" w:hAnsi="Calibri" w:cs="Times New Roman"/>
                <w:color w:val="000000"/>
                <w:sz w:val="22"/>
                <w:lang w:eastAsia="hu-HU"/>
              </w:rPr>
              <w:t>8,60</w:t>
            </w:r>
          </w:p>
        </w:tc>
      </w:tr>
    </w:tbl>
    <w:p w:rsidR="00447BFF" w:rsidRPr="00564F23" w:rsidRDefault="00447BFF" w:rsidP="00447BFF">
      <w:pPr>
        <w:rPr>
          <w:color w:val="FF0000"/>
        </w:rPr>
      </w:pPr>
    </w:p>
    <w:p w:rsidR="00447BFF" w:rsidRPr="00564F23" w:rsidRDefault="00447BFF" w:rsidP="00447BFF">
      <w:pPr>
        <w:rPr>
          <w:color w:val="FF0000"/>
          <w:szCs w:val="24"/>
        </w:rPr>
        <w:sectPr w:rsidR="00447BFF" w:rsidRPr="00564F2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47BFF" w:rsidRPr="00564F23" w:rsidRDefault="00447BFF" w:rsidP="00447BFF">
      <w:pPr>
        <w:rPr>
          <w:color w:val="FF0000"/>
          <w:szCs w:val="24"/>
        </w:rPr>
        <w:sectPr w:rsidR="00447BFF" w:rsidRPr="00564F23" w:rsidSect="00C175CF">
          <w:pgSz w:w="16838" w:h="11906" w:orient="landscape"/>
          <w:pgMar w:top="567" w:right="678" w:bottom="851" w:left="567" w:header="708" w:footer="708" w:gutter="0"/>
          <w:cols w:space="708"/>
          <w:docGrid w:linePitch="360"/>
        </w:sectPr>
      </w:pPr>
      <w:r>
        <w:rPr>
          <w:noProof/>
          <w:lang w:eastAsia="hu-HU"/>
        </w:rPr>
        <w:lastRenderedPageBreak/>
        <w:drawing>
          <wp:inline distT="0" distB="0" distL="0" distR="0" wp14:anchorId="4FA00940" wp14:editId="498FCEBD">
            <wp:extent cx="9685020" cy="6659880"/>
            <wp:effectExtent l="0" t="0" r="11430" b="7620"/>
            <wp:docPr id="1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E55760" w:rsidRDefault="00E55760">
      <w:bookmarkStart w:id="2" w:name="_GoBack"/>
      <w:bookmarkEnd w:id="2"/>
    </w:p>
    <w:sectPr w:rsidR="00E557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BFF"/>
    <w:rsid w:val="0019258E"/>
    <w:rsid w:val="0037777F"/>
    <w:rsid w:val="00447BFF"/>
    <w:rsid w:val="005526D6"/>
    <w:rsid w:val="00AD5DD9"/>
    <w:rsid w:val="00C64D65"/>
    <w:rsid w:val="00C771A8"/>
    <w:rsid w:val="00E54D63"/>
    <w:rsid w:val="00E55760"/>
    <w:rsid w:val="00ED2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293F9E-8462-4E88-B014-4D985FDFE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47BFF"/>
    <w:pPr>
      <w:spacing w:after="0" w:line="360" w:lineRule="auto"/>
      <w:jc w:val="both"/>
    </w:pPr>
    <w:rPr>
      <w:rFonts w:ascii="Titillium" w:hAnsi="Titillium" w:cstheme="minorBidi"/>
      <w:sz w:val="24"/>
    </w:rPr>
  </w:style>
  <w:style w:type="paragraph" w:styleId="Cmsor1">
    <w:name w:val="heading 1"/>
    <w:aliases w:val="Megalapozó címsor1"/>
    <w:basedOn w:val="Norml"/>
    <w:next w:val="Norml"/>
    <w:link w:val="Cmsor1Char"/>
    <w:autoRedefine/>
    <w:uiPriority w:val="9"/>
    <w:qFormat/>
    <w:rsid w:val="00AD5DD9"/>
    <w:pPr>
      <w:keepNext/>
      <w:pageBreakBefore/>
      <w:tabs>
        <w:tab w:val="left" w:pos="709"/>
      </w:tabs>
      <w:outlineLvl w:val="0"/>
    </w:pPr>
    <w:rPr>
      <w:rFonts w:eastAsia="Times New Roman" w:cs="Times New Roman"/>
      <w:b/>
      <w:bCs/>
      <w:caps/>
      <w:smallCaps/>
      <w:noProof/>
      <w:kern w:val="32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Megalapozó címsor1 Char"/>
    <w:basedOn w:val="Bekezdsalapbettpusa"/>
    <w:link w:val="Cmsor1"/>
    <w:uiPriority w:val="9"/>
    <w:rsid w:val="00AD5DD9"/>
    <w:rPr>
      <w:rFonts w:ascii="Titillium" w:eastAsia="Times New Roman" w:hAnsi="Titillium" w:cs="Times New Roman"/>
      <w:b/>
      <w:bCs/>
      <w:caps/>
      <w:smallCaps/>
      <w:noProof/>
      <w:kern w:val="3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nas\C\RENDEZESITERVEK\F&#252;zesgyarmat\&#218;j%20terv\Ter&#252;leti%20m&#233;rleg%202021.06.09%20grafikon%20Fgyarmat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b="1" i="0" baseline="0">
                <a:solidFill>
                  <a:sysClr val="windowText" lastClr="000000"/>
                </a:solidFill>
                <a:latin typeface="Titillium" panose="00000500000000000000" pitchFamily="50" charset="-18"/>
              </a:rPr>
              <a:t>TERÜLETI MÉRLEG</a:t>
            </a:r>
            <a:endParaRPr lang="hu-HU" b="1" i="0" baseline="0">
              <a:solidFill>
                <a:sysClr val="windowText" lastClr="000000"/>
              </a:solidFill>
              <a:latin typeface="Titillium" panose="00000500000000000000" pitchFamily="50" charset="-18"/>
            </a:endParaRP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Munka1!$H$2:$H$4</c:f>
              <c:strCache>
                <c:ptCount val="3"/>
                <c:pt idx="0">
                  <c:v>Területi mérleg a tervezett településszerkezeti terv szerint</c:v>
                </c:pt>
                <c:pt idx="1">
                  <c:v>Terület (ha)</c:v>
                </c:pt>
                <c:pt idx="2">
                  <c:v>Beépítésre szánt területek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Munka1!$F$5:$G$30</c:f>
              <c:strCache>
                <c:ptCount val="25"/>
                <c:pt idx="0">
                  <c:v>Kisvárosias lakóterület</c:v>
                </c:pt>
                <c:pt idx="1">
                  <c:v>Kertvárosias lakóterület</c:v>
                </c:pt>
                <c:pt idx="2">
                  <c:v>Falusias lakóterület</c:v>
                </c:pt>
                <c:pt idx="3">
                  <c:v>Településközpont vegyes terület</c:v>
                </c:pt>
                <c:pt idx="4">
                  <c:v>Kereskedelmi, szolgáltató gazdasági terület</c:v>
                </c:pt>
                <c:pt idx="5">
                  <c:v>Ipari gazdasági terület</c:v>
                </c:pt>
                <c:pt idx="6">
                  <c:v>Üdülőházas terület</c:v>
                </c:pt>
                <c:pt idx="7">
                  <c:v>Hétvégiházas terület</c:v>
                </c:pt>
                <c:pt idx="8">
                  <c:v>Különleges közműterület</c:v>
                </c:pt>
                <c:pt idx="9">
                  <c:v>Különleges mezőgazdasági üzemi terület</c:v>
                </c:pt>
                <c:pt idx="10">
                  <c:v>Különleges megújuló energia-hasznosítási terület</c:v>
                </c:pt>
                <c:pt idx="11">
                  <c:v>Különleges sportolási célú terület</c:v>
                </c:pt>
                <c:pt idx="12">
                  <c:v>Különleges strand terület</c:v>
                </c:pt>
                <c:pt idx="13">
                  <c:v>Közúti közlekedési terület</c:v>
                </c:pt>
                <c:pt idx="14">
                  <c:v>Kötöttpályás közlekedési terület</c:v>
                </c:pt>
                <c:pt idx="15">
                  <c:v>Zöldterület</c:v>
                </c:pt>
                <c:pt idx="16">
                  <c:v>Vízgazdálkodási terület</c:v>
                </c:pt>
                <c:pt idx="17">
                  <c:v>Védelmi erdőterület</c:v>
                </c:pt>
                <c:pt idx="18">
                  <c:v>Gazdasági erdőterület</c:v>
                </c:pt>
                <c:pt idx="19">
                  <c:v>Általános mezőgazdasági terület</c:v>
                </c:pt>
                <c:pt idx="20">
                  <c:v>Kertes mezőgazdasági terület</c:v>
                </c:pt>
                <c:pt idx="21">
                  <c:v>Különleges kegyeleti park terület</c:v>
                </c:pt>
                <c:pt idx="22">
                  <c:v>Különleges temető terület</c:v>
                </c:pt>
                <c:pt idx="23">
                  <c:v>Különleges horgászati hasznosítású terület</c:v>
                </c:pt>
                <c:pt idx="24">
                  <c:v>Különleges megújuló energia-hasznosítási beépítésre nem szánt terület</c:v>
                </c:pt>
              </c:strCache>
            </c:strRef>
          </c:cat>
          <c:val>
            <c:numRef>
              <c:f>Munka1!$H$5:$H$30</c:f>
              <c:numCache>
                <c:formatCode>0.00</c:formatCode>
                <c:ptCount val="25"/>
                <c:pt idx="0">
                  <c:v>0.4</c:v>
                </c:pt>
                <c:pt idx="1">
                  <c:v>0.78</c:v>
                </c:pt>
                <c:pt idx="2">
                  <c:v>338.01</c:v>
                </c:pt>
                <c:pt idx="3">
                  <c:v>19.43</c:v>
                </c:pt>
                <c:pt idx="4">
                  <c:v>36.69</c:v>
                </c:pt>
                <c:pt idx="5">
                  <c:v>96.73</c:v>
                </c:pt>
                <c:pt idx="6">
                  <c:v>4.25</c:v>
                </c:pt>
                <c:pt idx="7">
                  <c:v>1.67</c:v>
                </c:pt>
                <c:pt idx="8">
                  <c:v>9.1300000000000008</c:v>
                </c:pt>
                <c:pt idx="9">
                  <c:v>128.87</c:v>
                </c:pt>
                <c:pt idx="10">
                  <c:v>2.33</c:v>
                </c:pt>
                <c:pt idx="11">
                  <c:v>7.02</c:v>
                </c:pt>
                <c:pt idx="12">
                  <c:v>4.12</c:v>
                </c:pt>
                <c:pt idx="13">
                  <c:v>351.63</c:v>
                </c:pt>
                <c:pt idx="14">
                  <c:v>27.19</c:v>
                </c:pt>
                <c:pt idx="15">
                  <c:v>9.14</c:v>
                </c:pt>
                <c:pt idx="16">
                  <c:v>454.45</c:v>
                </c:pt>
                <c:pt idx="17">
                  <c:v>137.41999999999999</c:v>
                </c:pt>
                <c:pt idx="18">
                  <c:v>1140.6300000000001</c:v>
                </c:pt>
                <c:pt idx="19">
                  <c:v>9593.48</c:v>
                </c:pt>
                <c:pt idx="20">
                  <c:v>338.7</c:v>
                </c:pt>
                <c:pt idx="21">
                  <c:v>3.96</c:v>
                </c:pt>
                <c:pt idx="22">
                  <c:v>10</c:v>
                </c:pt>
                <c:pt idx="23">
                  <c:v>9.58</c:v>
                </c:pt>
                <c:pt idx="24">
                  <c:v>8.6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5CA-4819-895B-DA42B9198D4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583816040"/>
        <c:axId val="583815712"/>
      </c:barChart>
      <c:catAx>
        <c:axId val="58381604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583815712"/>
        <c:crosses val="autoZero"/>
        <c:auto val="1"/>
        <c:lblAlgn val="ctr"/>
        <c:lblOffset val="100"/>
        <c:noMultiLvlLbl val="0"/>
      </c:catAx>
      <c:valAx>
        <c:axId val="58381571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58381604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163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2021-12-17T09:24:00Z</dcterms:created>
  <dcterms:modified xsi:type="dcterms:W3CDTF">2021-12-17T09:25:00Z</dcterms:modified>
</cp:coreProperties>
</file>