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A0" w:rsidRDefault="00066DA0" w:rsidP="00837019">
      <w:pPr>
        <w:jc w:val="center"/>
        <w:rPr>
          <w:b/>
          <w:bCs/>
          <w:sz w:val="56"/>
          <w:szCs w:val="56"/>
        </w:rPr>
      </w:pPr>
    </w:p>
    <w:p w:rsidR="00066DA0" w:rsidRDefault="00066DA0" w:rsidP="00837019">
      <w:pPr>
        <w:jc w:val="center"/>
        <w:rPr>
          <w:b/>
          <w:bCs/>
          <w:sz w:val="56"/>
          <w:szCs w:val="56"/>
        </w:rPr>
      </w:pPr>
    </w:p>
    <w:p w:rsidR="00066DA0" w:rsidRDefault="00066DA0" w:rsidP="00837019">
      <w:pPr>
        <w:jc w:val="center"/>
        <w:rPr>
          <w:b/>
          <w:bCs/>
          <w:sz w:val="56"/>
          <w:szCs w:val="56"/>
        </w:rPr>
      </w:pPr>
      <w:r w:rsidRPr="00E41912">
        <w:rPr>
          <w:b/>
          <w:bCs/>
          <w:sz w:val="56"/>
          <w:szCs w:val="56"/>
        </w:rPr>
        <w:t xml:space="preserve"> THERMAL HOTEL </w:t>
      </w:r>
      <w:r>
        <w:rPr>
          <w:b/>
          <w:bCs/>
          <w:sz w:val="56"/>
          <w:szCs w:val="56"/>
        </w:rPr>
        <w:t>GARA*** GYÓGY-ÉS WELLNESS SZÁLLODA</w:t>
      </w:r>
    </w:p>
    <w:p w:rsidR="00066DA0" w:rsidRPr="00E41912" w:rsidRDefault="00066DA0" w:rsidP="00837019">
      <w:pPr>
        <w:jc w:val="center"/>
        <w:rPr>
          <w:b/>
          <w:bCs/>
          <w:sz w:val="56"/>
          <w:szCs w:val="56"/>
        </w:rPr>
      </w:pPr>
      <w:r w:rsidRPr="00E41912">
        <w:rPr>
          <w:b/>
          <w:bCs/>
          <w:sz w:val="56"/>
          <w:szCs w:val="56"/>
        </w:rPr>
        <w:t xml:space="preserve"> ÜZ</w:t>
      </w:r>
      <w:r>
        <w:rPr>
          <w:b/>
          <w:bCs/>
          <w:sz w:val="56"/>
          <w:szCs w:val="56"/>
        </w:rPr>
        <w:t>LETI TERV 2014</w:t>
      </w:r>
    </w:p>
    <w:p w:rsidR="00066DA0" w:rsidRDefault="00066DA0" w:rsidP="00837019">
      <w:pPr>
        <w:jc w:val="center"/>
        <w:rPr>
          <w:b/>
          <w:bCs/>
          <w:sz w:val="36"/>
          <w:szCs w:val="36"/>
        </w:rPr>
      </w:pPr>
    </w:p>
    <w:p w:rsidR="00066DA0" w:rsidRDefault="00066DA0" w:rsidP="00837019">
      <w:pPr>
        <w:jc w:val="center"/>
        <w:rPr>
          <w:b/>
          <w:bCs/>
          <w:sz w:val="36"/>
          <w:szCs w:val="36"/>
        </w:rPr>
      </w:pPr>
    </w:p>
    <w:p w:rsidR="00066DA0" w:rsidRDefault="00066DA0" w:rsidP="00837019">
      <w:pPr>
        <w:jc w:val="center"/>
        <w:rPr>
          <w:b/>
          <w:bCs/>
          <w:sz w:val="36"/>
          <w:szCs w:val="36"/>
        </w:rPr>
      </w:pPr>
    </w:p>
    <w:p w:rsidR="00066DA0" w:rsidRPr="00E41912" w:rsidRDefault="00066DA0" w:rsidP="00837019">
      <w:pPr>
        <w:jc w:val="center"/>
        <w:rPr>
          <w:b/>
          <w:bCs/>
          <w:sz w:val="36"/>
          <w:szCs w:val="36"/>
        </w:rPr>
      </w:pPr>
      <w:r w:rsidRPr="00E41912">
        <w:rPr>
          <w:b/>
          <w:bCs/>
          <w:sz w:val="36"/>
          <w:szCs w:val="36"/>
        </w:rPr>
        <w:t>THERMAL HOTEL GARA GYÓGY- ÉS WELLNESS SZÁLLODA</w:t>
      </w:r>
    </w:p>
    <w:p w:rsidR="00066DA0" w:rsidRPr="00E41912" w:rsidRDefault="00066DA0" w:rsidP="00837019">
      <w:pPr>
        <w:jc w:val="center"/>
        <w:rPr>
          <w:b/>
          <w:bCs/>
          <w:sz w:val="36"/>
          <w:szCs w:val="36"/>
        </w:rPr>
      </w:pPr>
      <w:r w:rsidRPr="00E41912">
        <w:rPr>
          <w:b/>
          <w:bCs/>
          <w:sz w:val="36"/>
          <w:szCs w:val="36"/>
        </w:rPr>
        <w:t>5525 Füzesgyarmat Kossuth L. u. 92.</w:t>
      </w:r>
    </w:p>
    <w:p w:rsidR="00066DA0" w:rsidRPr="00E41912" w:rsidRDefault="00066DA0" w:rsidP="00837019">
      <w:pPr>
        <w:jc w:val="center"/>
        <w:rPr>
          <w:b/>
          <w:bCs/>
          <w:sz w:val="36"/>
          <w:szCs w:val="36"/>
        </w:rPr>
      </w:pPr>
      <w:r w:rsidRPr="00E41912">
        <w:rPr>
          <w:b/>
          <w:bCs/>
          <w:sz w:val="36"/>
          <w:szCs w:val="36"/>
        </w:rPr>
        <w:t>Tel.: 66/490-985, 66/490-986</w:t>
      </w:r>
    </w:p>
    <w:p w:rsidR="00066DA0" w:rsidRPr="00E41912" w:rsidRDefault="00066DA0" w:rsidP="00837019">
      <w:pPr>
        <w:jc w:val="center"/>
        <w:rPr>
          <w:b/>
          <w:bCs/>
          <w:sz w:val="36"/>
          <w:szCs w:val="36"/>
        </w:rPr>
      </w:pPr>
      <w:r w:rsidRPr="00E41912">
        <w:rPr>
          <w:b/>
          <w:bCs/>
          <w:sz w:val="36"/>
          <w:szCs w:val="36"/>
        </w:rPr>
        <w:t xml:space="preserve">E-mail: </w:t>
      </w:r>
      <w:hyperlink r:id="rId7">
        <w:r w:rsidRPr="00E41912">
          <w:rPr>
            <w:b/>
            <w:bCs/>
            <w:color w:val="0563C1"/>
            <w:sz w:val="36"/>
            <w:szCs w:val="36"/>
            <w:u w:val="single"/>
          </w:rPr>
          <w:t>hotel@kitnet.hu</w:t>
        </w:r>
      </w:hyperlink>
    </w:p>
    <w:p w:rsidR="00066DA0" w:rsidRPr="00E41912" w:rsidRDefault="00066DA0" w:rsidP="00837019">
      <w:pPr>
        <w:jc w:val="center"/>
        <w:rPr>
          <w:b/>
          <w:bCs/>
          <w:sz w:val="36"/>
          <w:szCs w:val="36"/>
          <w:u w:val="single"/>
        </w:rPr>
      </w:pPr>
      <w:r w:rsidRPr="00E41912">
        <w:rPr>
          <w:b/>
          <w:bCs/>
          <w:sz w:val="36"/>
          <w:szCs w:val="36"/>
        </w:rPr>
        <w:t>http:</w:t>
      </w:r>
      <w:r w:rsidRPr="00E41912">
        <w:rPr>
          <w:b/>
          <w:bCs/>
          <w:sz w:val="36"/>
          <w:szCs w:val="36"/>
          <w:u w:val="single"/>
        </w:rPr>
        <w:t>www.hotelgara.hu</w:t>
      </w:r>
    </w:p>
    <w:p w:rsidR="00066DA0" w:rsidRDefault="00066DA0" w:rsidP="00D86042">
      <w:pPr>
        <w:jc w:val="both"/>
      </w:pPr>
    </w:p>
    <w:p w:rsidR="00066DA0" w:rsidRDefault="00066DA0" w:rsidP="00D86042">
      <w:pPr>
        <w:jc w:val="both"/>
      </w:pPr>
    </w:p>
    <w:p w:rsidR="00066DA0" w:rsidRDefault="00066DA0" w:rsidP="00D86042">
      <w:pPr>
        <w:jc w:val="both"/>
      </w:pPr>
    </w:p>
    <w:p w:rsidR="00066DA0" w:rsidRDefault="00066DA0" w:rsidP="00D86042">
      <w:pPr>
        <w:jc w:val="both"/>
      </w:pPr>
    </w:p>
    <w:p w:rsidR="00066DA0" w:rsidRDefault="00066DA0" w:rsidP="00D86042">
      <w:pPr>
        <w:jc w:val="both"/>
      </w:pPr>
    </w:p>
    <w:p w:rsidR="00066DA0" w:rsidRDefault="00066DA0" w:rsidP="00D86042">
      <w:pPr>
        <w:jc w:val="both"/>
      </w:pPr>
    </w:p>
    <w:p w:rsidR="00066DA0" w:rsidRDefault="00066DA0" w:rsidP="00D86042">
      <w:pPr>
        <w:jc w:val="both"/>
      </w:pPr>
      <w:r>
        <w:t>Füzesgyarmat, 2014. január 21.</w:t>
      </w:r>
    </w:p>
    <w:p w:rsidR="00066DA0" w:rsidRDefault="00066DA0" w:rsidP="00D86042">
      <w:pPr>
        <w:jc w:val="both"/>
      </w:pPr>
      <w:r>
        <w:t>Készítette: Kovács Márton</w:t>
      </w:r>
    </w:p>
    <w:p w:rsidR="00066DA0" w:rsidRDefault="00066DA0" w:rsidP="00D86042">
      <w:pPr>
        <w:jc w:val="both"/>
        <w:rPr>
          <w:b/>
          <w:bCs/>
        </w:rPr>
      </w:pPr>
    </w:p>
    <w:p w:rsidR="00066DA0" w:rsidRDefault="00066DA0" w:rsidP="00D86042">
      <w:pPr>
        <w:jc w:val="both"/>
        <w:rPr>
          <w:b/>
          <w:bCs/>
        </w:rPr>
      </w:pPr>
    </w:p>
    <w:p w:rsidR="00066DA0" w:rsidRPr="008B323F" w:rsidRDefault="00066DA0" w:rsidP="00D86042">
      <w:pPr>
        <w:jc w:val="both"/>
        <w:rPr>
          <w:b/>
          <w:bCs/>
        </w:rPr>
      </w:pPr>
      <w:r w:rsidRPr="008B323F">
        <w:rPr>
          <w:b/>
          <w:bCs/>
        </w:rPr>
        <w:t>TARTALOMJEGYZÉK</w:t>
      </w:r>
    </w:p>
    <w:p w:rsidR="00066DA0" w:rsidRPr="008B323F" w:rsidRDefault="00066DA0" w:rsidP="00D86042">
      <w:pPr>
        <w:jc w:val="both"/>
        <w:rPr>
          <w:b/>
          <w:bCs/>
        </w:rPr>
      </w:pPr>
      <w:r w:rsidRPr="008B323F">
        <w:rPr>
          <w:b/>
          <w:bCs/>
        </w:rPr>
        <w:t>1. VEZETŐI ÖSSZEFOGLALÓ 3</w:t>
      </w:r>
    </w:p>
    <w:p w:rsidR="00066DA0" w:rsidRPr="008B323F" w:rsidRDefault="00066DA0" w:rsidP="00D86042">
      <w:pPr>
        <w:jc w:val="both"/>
      </w:pPr>
      <w:r w:rsidRPr="008B323F">
        <w:t>1.1. A Thermal Hotel Gara</w:t>
      </w:r>
      <w:r>
        <w:t>***</w:t>
      </w:r>
      <w:r w:rsidRPr="008B323F">
        <w:t xml:space="preserve"> Gy</w:t>
      </w:r>
      <w:r>
        <w:t xml:space="preserve">ógy- és Wellness Szálloda rövid </w:t>
      </w:r>
      <w:r w:rsidRPr="008B323F">
        <w:t xml:space="preserve">története </w:t>
      </w:r>
      <w:r>
        <w:tab/>
      </w:r>
      <w:r>
        <w:tab/>
      </w:r>
      <w:r>
        <w:tab/>
      </w:r>
      <w:r w:rsidRPr="008B323F">
        <w:t>3</w:t>
      </w:r>
    </w:p>
    <w:p w:rsidR="00066DA0" w:rsidRPr="008B323F" w:rsidRDefault="00066DA0" w:rsidP="00D86042">
      <w:pPr>
        <w:jc w:val="both"/>
      </w:pPr>
      <w:r w:rsidRPr="008B323F">
        <w:t>1.2. A Thermal Hotel Gara</w:t>
      </w:r>
      <w:r>
        <w:t>***</w:t>
      </w:r>
      <w:r w:rsidRPr="008B323F">
        <w:t xml:space="preserve"> Gyógy- és Wellness Szálloda j</w:t>
      </w:r>
      <w:r>
        <w:t xml:space="preserve">elenlegi </w:t>
      </w:r>
      <w:r w:rsidRPr="008B323F">
        <w:t xml:space="preserve">szolgáltatásai </w:t>
      </w:r>
      <w:r>
        <w:tab/>
      </w:r>
      <w:r>
        <w:tab/>
      </w:r>
      <w:r w:rsidRPr="008B323F">
        <w:t>4</w:t>
      </w:r>
    </w:p>
    <w:p w:rsidR="00066DA0" w:rsidRPr="008B323F" w:rsidRDefault="00066DA0" w:rsidP="00D86042">
      <w:pPr>
        <w:jc w:val="both"/>
      </w:pPr>
      <w:r w:rsidRPr="008B323F">
        <w:t xml:space="preserve">1.3 Piaci helyzet elemzése, versenytársak, célpiacok, marketing stratégia </w:t>
      </w:r>
      <w:r>
        <w:tab/>
      </w:r>
      <w:r>
        <w:tab/>
      </w:r>
      <w:r>
        <w:tab/>
      </w:r>
      <w:r w:rsidRPr="008B323F">
        <w:t>5</w:t>
      </w:r>
    </w:p>
    <w:p w:rsidR="00066DA0" w:rsidRPr="008B323F" w:rsidRDefault="00066DA0" w:rsidP="00D86042">
      <w:pPr>
        <w:jc w:val="both"/>
        <w:rPr>
          <w:b/>
          <w:bCs/>
        </w:rPr>
      </w:pPr>
      <w:r w:rsidRPr="008B323F">
        <w:rPr>
          <w:b/>
          <w:bCs/>
        </w:rPr>
        <w:t>2. A THERMAL HOTEL GARA</w:t>
      </w:r>
      <w:r>
        <w:rPr>
          <w:b/>
          <w:bCs/>
        </w:rPr>
        <w:t>***</w:t>
      </w:r>
      <w:r w:rsidRPr="008B323F">
        <w:rPr>
          <w:b/>
          <w:bCs/>
        </w:rPr>
        <w:t xml:space="preserve"> GYÓGY- ÉS WELLNESS SZÁLLODA</w:t>
      </w:r>
    </w:p>
    <w:p w:rsidR="00066DA0" w:rsidRPr="008B323F" w:rsidRDefault="00066DA0" w:rsidP="00D86042">
      <w:pPr>
        <w:jc w:val="both"/>
        <w:rPr>
          <w:b/>
          <w:bCs/>
        </w:rPr>
      </w:pPr>
      <w:r w:rsidRPr="008B323F">
        <w:rPr>
          <w:b/>
          <w:bCs/>
        </w:rPr>
        <w:t xml:space="preserve">MARKETINGTERVE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B323F">
        <w:rPr>
          <w:b/>
          <w:bCs/>
        </w:rPr>
        <w:t>7</w:t>
      </w:r>
    </w:p>
    <w:p w:rsidR="00066DA0" w:rsidRPr="008B323F" w:rsidRDefault="00066DA0" w:rsidP="00D86042">
      <w:pPr>
        <w:jc w:val="both"/>
      </w:pPr>
      <w:r w:rsidRPr="008B323F">
        <w:t xml:space="preserve">2.1. Ágazati áttekintés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323F">
        <w:t>8</w:t>
      </w:r>
    </w:p>
    <w:p w:rsidR="00066DA0" w:rsidRPr="008B323F" w:rsidRDefault="00066DA0" w:rsidP="00D86042">
      <w:pPr>
        <w:jc w:val="both"/>
      </w:pPr>
      <w:r w:rsidRPr="008B323F">
        <w:t>2.2. A Thermal Hotel Gara</w:t>
      </w:r>
      <w:r>
        <w:t>***</w:t>
      </w:r>
      <w:r w:rsidRPr="008B323F">
        <w:t xml:space="preserve"> Gyógy- és Wellness Szálloda</w:t>
      </w:r>
      <w:r>
        <w:t xml:space="preserve"> szolgáltatásainak </w:t>
      </w:r>
      <w:r w:rsidRPr="008B323F">
        <w:t xml:space="preserve">bemutatása </w:t>
      </w:r>
      <w:r>
        <w:tab/>
      </w:r>
      <w:r w:rsidRPr="008B323F">
        <w:t>9</w:t>
      </w:r>
    </w:p>
    <w:p w:rsidR="00066DA0" w:rsidRPr="008B323F" w:rsidRDefault="00066DA0" w:rsidP="00D86042">
      <w:pPr>
        <w:jc w:val="both"/>
      </w:pPr>
      <w:r w:rsidRPr="008B323F">
        <w:t xml:space="preserve">2.3. Piaci szegmentáció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323F">
        <w:t>9</w:t>
      </w:r>
    </w:p>
    <w:p w:rsidR="00066DA0" w:rsidRPr="008B323F" w:rsidRDefault="00066DA0" w:rsidP="00D86042">
      <w:pPr>
        <w:jc w:val="both"/>
      </w:pPr>
      <w:r w:rsidRPr="008B323F">
        <w:t xml:space="preserve">2.4. Versenytársak vizsgálata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323F">
        <w:t>11</w:t>
      </w:r>
    </w:p>
    <w:p w:rsidR="00066DA0" w:rsidRPr="008B323F" w:rsidRDefault="00066DA0" w:rsidP="00D86042">
      <w:pPr>
        <w:jc w:val="both"/>
      </w:pPr>
      <w:r w:rsidRPr="008B323F">
        <w:t>2.5. A Thermal Hotel Gara</w:t>
      </w:r>
      <w:r>
        <w:t>***</w:t>
      </w:r>
      <w:r w:rsidRPr="008B323F">
        <w:t xml:space="preserve"> Gyógy- és Wellness Szálloda SWOT analízise </w:t>
      </w:r>
      <w:r>
        <w:tab/>
      </w:r>
      <w:r>
        <w:tab/>
      </w:r>
      <w:r>
        <w:tab/>
      </w:r>
      <w:r w:rsidRPr="008B323F">
        <w:t>12</w:t>
      </w:r>
    </w:p>
    <w:p w:rsidR="00066DA0" w:rsidRPr="008B323F" w:rsidRDefault="00066DA0" w:rsidP="00D86042">
      <w:pPr>
        <w:jc w:val="both"/>
      </w:pPr>
      <w:r w:rsidRPr="008B323F">
        <w:t>2.6. A Thermal Hotel Gara</w:t>
      </w:r>
      <w:r>
        <w:t>***</w:t>
      </w:r>
      <w:r w:rsidRPr="008B323F">
        <w:t xml:space="preserve"> Gyógy- és Wellness Szálloda marketingmixe </w:t>
      </w:r>
      <w:r>
        <w:tab/>
      </w:r>
      <w:r>
        <w:tab/>
      </w:r>
      <w:r>
        <w:tab/>
      </w:r>
      <w:r w:rsidRPr="008B323F">
        <w:t>13</w:t>
      </w:r>
    </w:p>
    <w:p w:rsidR="00066DA0" w:rsidRPr="00132647" w:rsidRDefault="00066DA0" w:rsidP="00D86042">
      <w:pPr>
        <w:jc w:val="both"/>
        <w:rPr>
          <w:b/>
          <w:bCs/>
        </w:rPr>
      </w:pPr>
      <w:r w:rsidRPr="008B323F">
        <w:t>3.</w:t>
      </w:r>
      <w:r w:rsidRPr="00132647">
        <w:rPr>
          <w:b/>
          <w:bCs/>
        </w:rPr>
        <w:t xml:space="preserve"> A THERMAL HOTEL GARA*** GYÓGY- ÉS WELLNESS SZÁLLODA SZERVEZETI FELÉPÍTÉSE </w:t>
      </w:r>
      <w:r w:rsidRPr="00132647">
        <w:rPr>
          <w:b/>
          <w:bCs/>
        </w:rPr>
        <w:tab/>
        <w:t>16</w:t>
      </w:r>
    </w:p>
    <w:p w:rsidR="00066DA0" w:rsidRDefault="00066DA0" w:rsidP="00D86042">
      <w:pPr>
        <w:jc w:val="both"/>
        <w:rPr>
          <w:b/>
          <w:bCs/>
        </w:rPr>
      </w:pPr>
      <w:r>
        <w:rPr>
          <w:b/>
          <w:bCs/>
        </w:rPr>
        <w:t>Mellékletek:</w:t>
      </w:r>
    </w:p>
    <w:p w:rsidR="00066DA0" w:rsidRPr="008B323F" w:rsidRDefault="00066DA0" w:rsidP="00D86042">
      <w:pPr>
        <w:jc w:val="both"/>
        <w:rPr>
          <w:b/>
          <w:bCs/>
        </w:rPr>
      </w:pPr>
      <w:r>
        <w:rPr>
          <w:b/>
          <w:bCs/>
        </w:rPr>
        <w:t>1.melléklet:</w:t>
      </w:r>
      <w:r w:rsidRPr="007D2F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7D2F66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(OGYFI)által regisztrált gyógy szállodák megyénkénti bontása</w:t>
      </w:r>
    </w:p>
    <w:p w:rsidR="00066DA0" w:rsidRDefault="00066DA0" w:rsidP="00D86042">
      <w:pPr>
        <w:jc w:val="both"/>
        <w:rPr>
          <w:b/>
          <w:bCs/>
        </w:rPr>
      </w:pPr>
      <w:r>
        <w:rPr>
          <w:b/>
          <w:bCs/>
        </w:rPr>
        <w:t>2</w:t>
      </w:r>
      <w:r w:rsidRPr="006C4DBD">
        <w:rPr>
          <w:b/>
          <w:bCs/>
        </w:rPr>
        <w:t>. melléklet</w:t>
      </w:r>
      <w:r>
        <w:rPr>
          <w:b/>
          <w:bCs/>
        </w:rPr>
        <w:t>:</w:t>
      </w:r>
      <w:r w:rsidRPr="008B323F">
        <w:rPr>
          <w:b/>
          <w:bCs/>
        </w:rPr>
        <w:t>A THERMAL HOTEL GARA</w:t>
      </w:r>
      <w:r>
        <w:rPr>
          <w:b/>
          <w:bCs/>
        </w:rPr>
        <w:t xml:space="preserve">*** GYÓGY- ÉS WELLNESS SZÁLLODA </w:t>
      </w:r>
      <w:r w:rsidRPr="008B323F">
        <w:rPr>
          <w:b/>
          <w:bCs/>
        </w:rPr>
        <w:t xml:space="preserve">PÉNZÜGYI TERVE </w:t>
      </w:r>
      <w:r>
        <w:rPr>
          <w:b/>
          <w:bCs/>
        </w:rPr>
        <w:tab/>
      </w:r>
    </w:p>
    <w:p w:rsidR="00066DA0" w:rsidRDefault="00066DA0" w:rsidP="00D86042">
      <w:pPr>
        <w:jc w:val="both"/>
        <w:rPr>
          <w:b/>
          <w:bCs/>
        </w:rPr>
      </w:pPr>
      <w:r>
        <w:rPr>
          <w:b/>
          <w:bCs/>
        </w:rPr>
        <w:t>3. melléklet: Személyügyi kiadások segédtáblázat</w:t>
      </w:r>
    </w:p>
    <w:p w:rsidR="00066DA0" w:rsidRDefault="00066DA0" w:rsidP="00D86042">
      <w:pPr>
        <w:jc w:val="both"/>
        <w:rPr>
          <w:b/>
          <w:bCs/>
        </w:rPr>
      </w:pPr>
      <w:r>
        <w:rPr>
          <w:b/>
          <w:bCs/>
        </w:rPr>
        <w:t>4. melléklet: Kiadások  2013.10.15-2014.01.07-ig</w:t>
      </w:r>
    </w:p>
    <w:p w:rsidR="00066DA0" w:rsidRDefault="00066DA0" w:rsidP="00D86042">
      <w:pPr>
        <w:jc w:val="both"/>
        <w:rPr>
          <w:b/>
          <w:bCs/>
        </w:rPr>
      </w:pPr>
      <w:r>
        <w:rPr>
          <w:b/>
          <w:bCs/>
        </w:rPr>
        <w:t>5. melléklet: Varható kiadások és Szoba Felújítás költségei 2014. 02.01-től</w:t>
      </w:r>
      <w:r>
        <w:rPr>
          <w:b/>
          <w:bCs/>
        </w:rPr>
        <w:tab/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1. VEZETŐI ÖSSZEFOGLALÓ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066DA0" w:rsidRPr="003E0842" w:rsidRDefault="00066DA0" w:rsidP="003E084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3E084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A Thermal Hotel Gara</w:t>
      </w:r>
      <w:r>
        <w:rPr>
          <w:rFonts w:ascii="Wingdings-Regular,Bold" w:eastAsia="Wingdings-Regular,Bold" w:hAnsi="TimesNewRomanPS-BoldMT" w:cs="Wingdings-Regular,Bold"/>
          <w:b/>
          <w:bCs/>
          <w:color w:val="000000"/>
          <w:sz w:val="16"/>
          <w:szCs w:val="16"/>
        </w:rPr>
        <w:t>***</w:t>
      </w:r>
      <w:r w:rsidRPr="003E0842">
        <w:rPr>
          <w:rFonts w:ascii="Wingdings-Regular,Bold" w:eastAsia="Wingdings-Regular,Bold" w:hAnsi="TimesNewRomanPS-BoldMT" w:cs="Wingdings-Regular,Bold"/>
          <w:b/>
          <w:bCs/>
          <w:color w:val="000000"/>
          <w:sz w:val="16"/>
          <w:szCs w:val="16"/>
        </w:rPr>
        <w:t xml:space="preserve"> </w:t>
      </w:r>
      <w:r w:rsidRPr="003E084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Gyógy- és Wellness Szálloda rövid története:</w:t>
      </w:r>
    </w:p>
    <w:p w:rsidR="00066DA0" w:rsidRPr="003E0842" w:rsidRDefault="00066DA0" w:rsidP="003E08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Hotelt 1989-ben a MOL Rt. munkásszállónak építtette, majd 1992-ben oktatási központtá alakíttatta át. 1998-ban a szálloda a MOL Hotels szállodalánc része lett, majd 2001-ben az A. W. IMMO Kft. vásárolta meg az ingatlant.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Az A. W. IMMO Kft. a következő beruházásokat hajtotta végre az ingatlanon: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2002: étterem bővítése (befogadóképesség 120 főre nőtt, nem kapott használatbavételi engedélyt), 3 db kültéri medence kialakítása a szálloda udvarán, pezsgőfürdő, szauna beépítése, 10 db lakosztály és az I. emeleten található kétágyas szobák felújítása, 8 személyes panoráma lift beépítése, földszinti konferenciatermek kialakítása. A szálloda ekkor 76 szobával és 158 férőhellyel üzemelt.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2003-2005: Gara Mozgás- és Egészségterápiás Centrum néven új fizioterápiás központ jött létre, melynek célja a kistérség OEP finanszírozott járó beteg ellátása, valamint a szállodába érkező vendégek részére gyógy- és wellness kezelések biztosítása. Mindezen felül 4 db háromágyas szoba akadálymentesítése, a szálloda hátsó udvarán mesterséges tavak és szabadtéri rendezvények megvalósítására alkalmas nyitott épület, strandröplabda pálya, fitneszterem berendezése valósult meg. A szálloda 76 szobával és 163 férőhellyel működött tovább.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2006: a Hotel III. emeletén további 10 szoba (6 db lakosztály, 4 db kétágyas szoba) került kialakításra (nem kapott használatbavételi engedélyt); megépült a Hotel és a gyógyászati egység összekötő folyosója (így a szállodát gyógyszállóvá minősítették – nem kapott használatbavételi engedélyt); elkészült egy részleges homlokzatfestés, megkezdődött a szállodaépület wellness részének bővítése (a dokumentum megírásának időpontjáig ez a fejlesztés nem fejeződött be); konyha főzőterének bővítése (nem kapott használatbavételi engedélyt). A szálloda ebben az évben kapta meg a gyógy- és wellness szállodává való minősítést, így a hotel neve Thermal Hotel Gara</w:t>
      </w:r>
      <w:r>
        <w:rPr>
          <w:rFonts w:ascii="Wingdings-Regular" w:eastAsia="Wingdings-Regular" w:hAnsi="TimesNewRomanPS-BoldMT" w:cs="Wingdings-Regular"/>
          <w:color w:val="000000"/>
          <w:sz w:val="14"/>
          <w:szCs w:val="14"/>
        </w:rPr>
        <w:t xml:space="preserve">*** </w:t>
      </w:r>
      <w:r>
        <w:rPr>
          <w:rFonts w:ascii="TimesNewRomanPSMT" w:hAnsi="TimesNewRomanPSMT" w:cs="TimesNewRomanPSMT"/>
          <w:color w:val="000000"/>
          <w:sz w:val="24"/>
          <w:szCs w:val="24"/>
        </w:rPr>
        <w:t>Gyógy- és Wellness Szálloda lett.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2007-ben az A. W. IMMO Kft. pénzügyi problémák miatt átadta az üzemeltetést a Gara-Med Kft.-nek, majd ezen év végén értékesítette az FR Tulipánudvar Kft.-nek. Az új tulajdonos 2008-ban beadott egy pályázatot a szálloda teljes felújítására, korszerűsítésére (a pályázat kódja: DAOP2.1.2-2008-0005, címe pedig: „A Hotel Gara szálloda szálláshely- és szolgáltatás bővítésével, fejlesztésével komplex turisztikai termék kialakítása a Dél-Alföldi Régióban” volt), mely pozitív elbírálásban részesült, és az ehhez kapcsolódó támogatási szerződés 2009-ben lett megkötve (a projekt teljes költségvetése nettó 625 millió Ft volt, 40%-os támogatási intenzitás mellett). A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gazdasági válság és annak idegenforgalomra gyakorolt negatív hatásai miatt azonban a pályázat által támogatott beruházás nem valósult meg és 2010. július 23-án az FR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Tulipánudvar Kft. hivatalosan is felszámolási eljárás alá került. 2010. július 1-2012. január 5. között a szálloda üzemeltetését a Hotel Gara Kft. látta el.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Thermal Hotel Gara</w:t>
      </w:r>
      <w:r>
        <w:rPr>
          <w:rFonts w:ascii="Wingdings-Regular,Italic" w:eastAsia="Wingdings-Regular,Italic" w:hAnsi="TimesNewRomanPS-BoldMT" w:cs="Wingdings-Regular,Italic"/>
          <w:i/>
          <w:iCs/>
          <w:color w:val="000000"/>
          <w:sz w:val="13"/>
          <w:szCs w:val="13"/>
        </w:rPr>
        <w:t xml:space="preserve">*** </w:t>
      </w:r>
      <w:r>
        <w:rPr>
          <w:rFonts w:ascii="TimesNewRomanPS-ItalicMT" w:hAnsi="TimesNewRomanPS-ItalicMT" w:cs="TimesNewRomanPS-ItalicMT"/>
          <w:i/>
          <w:iCs/>
          <w:color w:val="000000"/>
        </w:rPr>
        <w:t>Gyógy- és Wellness Szálloda üzleti terve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1.2. A Thermal Hotel Gara</w:t>
      </w:r>
      <w:r>
        <w:rPr>
          <w:rFonts w:ascii="Wingdings-Regular,Bold" w:eastAsia="Wingdings-Regular,Bold" w:hAnsi="TimesNewRomanPS-BoldMT" w:cs="Wingdings-Regular,Bold"/>
          <w:b/>
          <w:bCs/>
          <w:color w:val="000000"/>
          <w:sz w:val="16"/>
          <w:szCs w:val="16"/>
        </w:rPr>
        <w:t xml:space="preserve">*** 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Gyógy- és Wellness Szálloda jelenlegi szolgáltatásai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szálloda jelenleg 86 szobával (60 db kétágyas, 7 db háromágyas – ebből 4 db mozgáskorlátozott kialakítású, 5 db négyágyas szoba, valamint 14 db lakosztály) és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189 férőhellyel rendelkezik.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 szállóvendégek részére térítésmentesen biztosított szolgáltatások: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kültéri úszó-, gyermek-, és gyógymedence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finn szauna merülő medencével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8 személyes pezsgőfürdő kád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rex- és biliárdterem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kondicionáló terem (férfi és női külön)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külső teniszpálya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ingyenes parkolási lehetőség (összesen kb. 100 db gépjármű részére)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Térítés ellenében igénybe vehető szállodai szolgáltatások: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a’ la carte étterem (max. befogadóképesség: 120 fő)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bár (max. befogadóképesség: 25 fő)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álló szolárium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Wi-Fi internet csatlakozási lehetőség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Gyógyászati és wellness szolgáltatások: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OEP finanszírozott fürdőgyógyászati kezelések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mozgásterápiák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masszázsok, pakolások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kádfürdők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elektromos kezelések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Konferenciaszolgáltatások: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Szitás Erzsébet terem (max. befogadóképesség: 250 fő; felszereltség: projektor, hangosítás, flip chart, video lejátszó, DVD lejátszó)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Vadász terem (max. befogadóképesség: 70 fő; felszereltség: projektor, flip chart, video lejátszó, DVD lejátszó)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Szekcióterem (max. befogadóképesség: 25 fő; felszereltség: projektor, flip chart, video lejátszó, DVD lejátszó)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66DA0" w:rsidRPr="003E0842" w:rsidRDefault="00066DA0" w:rsidP="003E084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6"/>
          <w:szCs w:val="26"/>
        </w:rPr>
      </w:pPr>
      <w:r w:rsidRPr="003E0842"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>Piaci helyzet elemzése, versenytársak, célpiacok, marketing stratégia</w:t>
      </w:r>
    </w:p>
    <w:p w:rsidR="00066DA0" w:rsidRPr="003E0842" w:rsidRDefault="00066DA0" w:rsidP="003E084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6"/>
          <w:szCs w:val="26"/>
        </w:rPr>
      </w:pPr>
    </w:p>
    <w:p w:rsidR="00066DA0" w:rsidRDefault="00066DA0" w:rsidP="003E08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Piaci helyzet</w:t>
      </w:r>
    </w:p>
    <w:p w:rsidR="00066DA0" w:rsidRDefault="00066DA0" w:rsidP="003E08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066DA0" w:rsidRPr="004C4A5E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4C4A5E">
        <w:rPr>
          <w:rFonts w:ascii="TimesNewRomanPSMT" w:hAnsi="TimesNewRomanPSMT" w:cs="TimesNewRomanPSMT"/>
          <w:color w:val="000000"/>
          <w:sz w:val="20"/>
          <w:szCs w:val="20"/>
        </w:rPr>
        <w:t>A gazdasági válság hatásai egyértelműen ére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zhetők voltak az idegenforgalmi </w:t>
      </w:r>
      <w:r w:rsidRPr="004C4A5E">
        <w:rPr>
          <w:rFonts w:ascii="TimesNewRomanPSMT" w:hAnsi="TimesNewRomanPSMT" w:cs="TimesNewRomanPSMT"/>
          <w:color w:val="000000"/>
          <w:sz w:val="20"/>
          <w:szCs w:val="20"/>
        </w:rPr>
        <w:t>szektorban is, melyet a legutolsó teljes éves adatok is igazolnak: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2"/>
        <w:gridCol w:w="1812"/>
        <w:gridCol w:w="1812"/>
        <w:gridCol w:w="1813"/>
        <w:gridCol w:w="1813"/>
      </w:tblGrid>
      <w:tr w:rsidR="00066DA0" w:rsidRPr="006D04BA">
        <w:tc>
          <w:tcPr>
            <w:tcW w:w="1812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Mutató neve</w:t>
            </w:r>
          </w:p>
        </w:tc>
        <w:tc>
          <w:tcPr>
            <w:tcW w:w="1812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812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813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813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2010</w:t>
            </w:r>
          </w:p>
        </w:tc>
      </w:tr>
      <w:tr w:rsidR="00066DA0" w:rsidRPr="006D04BA">
        <w:tc>
          <w:tcPr>
            <w:tcW w:w="1812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Kereskedelemi szálláshelyek vendégforgalma (ezer fő)</w:t>
            </w:r>
          </w:p>
        </w:tc>
        <w:tc>
          <w:tcPr>
            <w:tcW w:w="1812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7474</w:t>
            </w:r>
          </w:p>
        </w:tc>
        <w:tc>
          <w:tcPr>
            <w:tcW w:w="1812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7651</w:t>
            </w:r>
          </w:p>
        </w:tc>
        <w:tc>
          <w:tcPr>
            <w:tcW w:w="1813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7151</w:t>
            </w:r>
          </w:p>
        </w:tc>
        <w:tc>
          <w:tcPr>
            <w:tcW w:w="1813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7304</w:t>
            </w:r>
          </w:p>
        </w:tc>
      </w:tr>
      <w:tr w:rsidR="00066DA0" w:rsidRPr="006D04BA">
        <w:tc>
          <w:tcPr>
            <w:tcW w:w="1812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Kereskedelmi szálláshelyeken eltöltött vendégéjszakák száma (ezer db)</w:t>
            </w:r>
          </w:p>
        </w:tc>
        <w:tc>
          <w:tcPr>
            <w:tcW w:w="1812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20128</w:t>
            </w:r>
          </w:p>
        </w:tc>
        <w:tc>
          <w:tcPr>
            <w:tcW w:w="1812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19974</w:t>
            </w:r>
          </w:p>
        </w:tc>
        <w:tc>
          <w:tcPr>
            <w:tcW w:w="1813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18710</w:t>
            </w:r>
          </w:p>
        </w:tc>
        <w:tc>
          <w:tcPr>
            <w:tcW w:w="1813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19031</w:t>
            </w:r>
          </w:p>
        </w:tc>
      </w:tr>
      <w:tr w:rsidR="00066DA0" w:rsidRPr="006D04BA">
        <w:tc>
          <w:tcPr>
            <w:tcW w:w="1812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Szállodák vendégforgalma (ezer fő)</w:t>
            </w:r>
          </w:p>
        </w:tc>
        <w:tc>
          <w:tcPr>
            <w:tcW w:w="1812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5417</w:t>
            </w:r>
          </w:p>
        </w:tc>
        <w:tc>
          <w:tcPr>
            <w:tcW w:w="1812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5623</w:t>
            </w:r>
          </w:p>
        </w:tc>
        <w:tc>
          <w:tcPr>
            <w:tcW w:w="1813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5179</w:t>
            </w:r>
          </w:p>
        </w:tc>
        <w:tc>
          <w:tcPr>
            <w:tcW w:w="1813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6261</w:t>
            </w:r>
          </w:p>
        </w:tc>
      </w:tr>
      <w:tr w:rsidR="00066DA0" w:rsidRPr="006D04BA">
        <w:tc>
          <w:tcPr>
            <w:tcW w:w="1812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Szállodákban eltöltött vendégéjszakák száma (ezer db)</w:t>
            </w:r>
          </w:p>
        </w:tc>
        <w:tc>
          <w:tcPr>
            <w:tcW w:w="1812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14129</w:t>
            </w:r>
          </w:p>
        </w:tc>
        <w:tc>
          <w:tcPr>
            <w:tcW w:w="1812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14174</w:t>
            </w:r>
          </w:p>
        </w:tc>
        <w:tc>
          <w:tcPr>
            <w:tcW w:w="1813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13103</w:t>
            </w:r>
          </w:p>
        </w:tc>
        <w:tc>
          <w:tcPr>
            <w:tcW w:w="1813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15617</w:t>
            </w:r>
          </w:p>
        </w:tc>
      </w:tr>
      <w:tr w:rsidR="00066DA0" w:rsidRPr="006D04BA">
        <w:tc>
          <w:tcPr>
            <w:tcW w:w="1812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Háromcsillagos szállodák vendégforgalma (ezer fő)</w:t>
            </w:r>
          </w:p>
        </w:tc>
        <w:tc>
          <w:tcPr>
            <w:tcW w:w="1812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2271</w:t>
            </w:r>
          </w:p>
        </w:tc>
        <w:tc>
          <w:tcPr>
            <w:tcW w:w="1812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2346</w:t>
            </w:r>
          </w:p>
        </w:tc>
        <w:tc>
          <w:tcPr>
            <w:tcW w:w="1813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13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1954</w:t>
            </w:r>
          </w:p>
        </w:tc>
      </w:tr>
      <w:tr w:rsidR="00066DA0" w:rsidRPr="006D04BA">
        <w:tc>
          <w:tcPr>
            <w:tcW w:w="1812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Háromcsillagos szállodákban eltöltött vendégéjszakák száma (ezer db)</w:t>
            </w:r>
          </w:p>
        </w:tc>
        <w:tc>
          <w:tcPr>
            <w:tcW w:w="1812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6025</w:t>
            </w:r>
          </w:p>
        </w:tc>
        <w:tc>
          <w:tcPr>
            <w:tcW w:w="1812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6033</w:t>
            </w:r>
          </w:p>
        </w:tc>
        <w:tc>
          <w:tcPr>
            <w:tcW w:w="1813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5230</w:t>
            </w:r>
          </w:p>
        </w:tc>
        <w:tc>
          <w:tcPr>
            <w:tcW w:w="1813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5087</w:t>
            </w:r>
          </w:p>
        </w:tc>
      </w:tr>
    </w:tbl>
    <w:p w:rsidR="00066DA0" w:rsidRPr="004C4A5E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4C4A5E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Forrás: KSH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táblázatban leírtak alapján látható, hogy a kereskedelmi szálláshelyek és ezen belül a szállodák vendégforgalma is csökkent 2008-ról 2009-re (a szállodák vendégforgalmának csökkenése: 6,5%). Ugyancsak csökkenő tendenciát mutat a vendégéjszakák száma is, mely a szállodák esetében 6,3%-os. 2009-ről 2010-re viszont mindkét előbbi mutató diszkrét növekedése tapasztalható (vendégforgalom: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2,1-os, vendégéjszakák száma: 1,7%-os növekedés). Az átlagos tartózkodási idő tekintetében a szállodák 2008-2010-es adatait összehasonlítva minimális változás mutatkozik (2008-ban 2,52, 2009-ben 2,53, 2010-ben pedig 2,49 vendégéj). Ebből az adatból viszont leszűrhető, hogy a szállodák esetében a hétvégi foglalások dominálnak, ezért a kapacitások szezonális kihasználtsága problémát jelenthet az üzemeltetés során.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Az országban található háromcsillagos szálláshelyeket vizsgálva kitűnik, hogy a 2008-2009-es évi teljesítmények csökkenési ütemükben eltérnek a fentebb elemzett arányoktól: a vendégforgalom 13,9%-os, míg az eltöltött vendégéjszakák száma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13,3%-os csökkenést mutat, ami jóval meghaladja a szállodáknál tapasztalt értékeket.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Az átlagos tartózkodási időt vizsgálva (2008: 2,57 vendégéj, 2009: 2,59 vendégéj,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2010: 2,60 vendégéj) az értékek némileg magasabbak, mint a szálláshelyek összességének esetében. 2010-re a fő tendenciával ellentétben a háromcsillagos szállodákban megforduló vendégek és eltöltött vendégéjszakák tovább csökkentek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(vendégszám: 3,2%-os, vendégéj: 2,8%-is csökkenés).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Szűkítve az elemzés körét, a Dél-alföldi régió háromcsillagos szállodáinak mutatói az alábbi táblázatban láthatók: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1417"/>
        <w:gridCol w:w="1559"/>
        <w:gridCol w:w="1425"/>
      </w:tblGrid>
      <w:tr w:rsidR="00066DA0" w:rsidRPr="006D04BA">
        <w:tc>
          <w:tcPr>
            <w:tcW w:w="0" w:type="auto"/>
            <w:gridSpan w:val="4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Háromcsillagos szállodák főbb mutatószámai a Dél-alföldi régióban</w:t>
            </w:r>
          </w:p>
        </w:tc>
      </w:tr>
      <w:tr w:rsidR="00066DA0" w:rsidRPr="006D04BA">
        <w:tc>
          <w:tcPr>
            <w:tcW w:w="3256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Mutató neve</w:t>
            </w:r>
          </w:p>
        </w:tc>
        <w:tc>
          <w:tcPr>
            <w:tcW w:w="1417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559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425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2010</w:t>
            </w:r>
          </w:p>
        </w:tc>
      </w:tr>
      <w:tr w:rsidR="00066DA0" w:rsidRPr="006D04BA">
        <w:tc>
          <w:tcPr>
            <w:tcW w:w="3256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Szálláshelyek száma dec.31-én (db)</w:t>
            </w:r>
          </w:p>
        </w:tc>
        <w:tc>
          <w:tcPr>
            <w:tcW w:w="1417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25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37</w:t>
            </w:r>
          </w:p>
        </w:tc>
      </w:tr>
      <w:tr w:rsidR="00066DA0" w:rsidRPr="006D04BA">
        <w:tc>
          <w:tcPr>
            <w:tcW w:w="3256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Kiadható szobák száma dec. 31-én (db)</w:t>
            </w:r>
          </w:p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1 510</w:t>
            </w:r>
          </w:p>
        </w:tc>
        <w:tc>
          <w:tcPr>
            <w:tcW w:w="1559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1 191</w:t>
            </w:r>
          </w:p>
        </w:tc>
        <w:tc>
          <w:tcPr>
            <w:tcW w:w="1425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1 075</w:t>
            </w:r>
          </w:p>
        </w:tc>
      </w:tr>
      <w:tr w:rsidR="00066DA0" w:rsidRPr="006D04BA">
        <w:tc>
          <w:tcPr>
            <w:tcW w:w="3256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Kiadható férőhelyek száma dec. 31-én (db)</w:t>
            </w:r>
          </w:p>
        </w:tc>
        <w:tc>
          <w:tcPr>
            <w:tcW w:w="1417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3 461</w:t>
            </w:r>
          </w:p>
        </w:tc>
        <w:tc>
          <w:tcPr>
            <w:tcW w:w="1559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2 666</w:t>
            </w:r>
          </w:p>
        </w:tc>
        <w:tc>
          <w:tcPr>
            <w:tcW w:w="1425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2 469</w:t>
            </w:r>
          </w:p>
        </w:tc>
      </w:tr>
      <w:tr w:rsidR="00066DA0" w:rsidRPr="006D04BA">
        <w:tc>
          <w:tcPr>
            <w:tcW w:w="3256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Szobakapacitás-kihasználtság (%)</w:t>
            </w:r>
          </w:p>
        </w:tc>
        <w:tc>
          <w:tcPr>
            <w:tcW w:w="1417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40,80</w:t>
            </w:r>
          </w:p>
        </w:tc>
        <w:tc>
          <w:tcPr>
            <w:tcW w:w="1559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25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33,2</w:t>
            </w:r>
          </w:p>
        </w:tc>
      </w:tr>
      <w:tr w:rsidR="00066DA0" w:rsidRPr="006D04BA">
        <w:tc>
          <w:tcPr>
            <w:tcW w:w="3256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Férőhelykapacitás-kihasználtság (%)</w:t>
            </w:r>
          </w:p>
        </w:tc>
        <w:tc>
          <w:tcPr>
            <w:tcW w:w="1417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559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425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24,6</w:t>
            </w:r>
          </w:p>
        </w:tc>
      </w:tr>
      <w:tr w:rsidR="00066DA0" w:rsidRPr="006D04BA">
        <w:tc>
          <w:tcPr>
            <w:tcW w:w="3256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Átlagos tartózkodási idő (vendégéj)</w:t>
            </w:r>
          </w:p>
        </w:tc>
        <w:tc>
          <w:tcPr>
            <w:tcW w:w="1417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559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25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2,14</w:t>
            </w:r>
          </w:p>
        </w:tc>
      </w:tr>
      <w:tr w:rsidR="00066DA0" w:rsidRPr="006D04BA">
        <w:tc>
          <w:tcPr>
            <w:tcW w:w="3256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Egy vendégéjszakára jutó bruttó szállásdíj (Ft)</w:t>
            </w:r>
          </w:p>
        </w:tc>
        <w:tc>
          <w:tcPr>
            <w:tcW w:w="1417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5 282</w:t>
            </w:r>
          </w:p>
        </w:tc>
        <w:tc>
          <w:tcPr>
            <w:tcW w:w="1559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5 699</w:t>
            </w:r>
          </w:p>
        </w:tc>
        <w:tc>
          <w:tcPr>
            <w:tcW w:w="1425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6 046</w:t>
            </w:r>
          </w:p>
        </w:tc>
      </w:tr>
      <w:tr w:rsidR="00066DA0" w:rsidRPr="006D04BA">
        <w:tc>
          <w:tcPr>
            <w:tcW w:w="3256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Egy szoba átlagára (Ft)</w:t>
            </w:r>
          </w:p>
        </w:tc>
        <w:tc>
          <w:tcPr>
            <w:tcW w:w="1417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9 460</w:t>
            </w:r>
          </w:p>
        </w:tc>
        <w:tc>
          <w:tcPr>
            <w:tcW w:w="1559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9 859</w:t>
            </w:r>
          </w:p>
        </w:tc>
        <w:tc>
          <w:tcPr>
            <w:tcW w:w="1425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10 071</w:t>
            </w:r>
          </w:p>
        </w:tc>
      </w:tr>
      <w:tr w:rsidR="00066DA0" w:rsidRPr="006D04BA">
        <w:tc>
          <w:tcPr>
            <w:tcW w:w="3256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REVPAR (Ft)</w:t>
            </w:r>
          </w:p>
        </w:tc>
        <w:tc>
          <w:tcPr>
            <w:tcW w:w="1417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3 863</w:t>
            </w:r>
          </w:p>
        </w:tc>
        <w:tc>
          <w:tcPr>
            <w:tcW w:w="1559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3 650</w:t>
            </w:r>
          </w:p>
        </w:tc>
        <w:tc>
          <w:tcPr>
            <w:tcW w:w="1425" w:type="dxa"/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6D04BA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3 343</w:t>
            </w:r>
          </w:p>
        </w:tc>
      </w:tr>
    </w:tbl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B13BBB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Forrás: KSH</w:t>
      </w:r>
    </w:p>
    <w:p w:rsidR="00066DA0" w:rsidRPr="00B13BBB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fenti adatokból látható, hogy a Dél-alföldi Régióban működő háromcsillagos szállodák száma az utóbbi években csökkent (2008-hoz képest 12%-os a csökkenés mértéke 2010-ben), melynek következtében a kiadható szobák és férőhelyek is csökkentek. A szobakapacitás-kihasználtság 3,8, míg a férőhelykapacitáskihasználtság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3,9%-kal mérséklődött 2010-re az előző évhez viszonyítva. Ami érdekes, hogy mind az egy vendégéjszakára jutó bruttó szállásdíj (növekedés mértéke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2010-re: 6,0%), mind pedig az egy szoba átlagára (növekedés mértéke: 2,2%) a válság ellenére folyamatosan növekedett, bár ennek egyik lehetséges oka a szállásdíj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ÁFA tartalmának csökkentéséből adódó bevétel átcsoportosításban keresendő.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Összességében elmondható, hogy a válság okozta keresletcsökkenés a háromcsillagos szállodákat érzékenyen érintette, és ahogyan az utóbbi táblázatban látható is, a működő egységek számának csökkenése volt tapasztalható a Dél-alföldi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Régióban.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Versenytársak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Thermal Hotel Gara</w:t>
      </w:r>
      <w:r>
        <w:rPr>
          <w:rFonts w:ascii="Wingdings-Regular" w:eastAsia="Wingdings-Regular" w:hAnsi="TimesNewRomanPSMT" w:cs="Wingdings-Regular"/>
          <w:color w:val="000000"/>
          <w:sz w:val="24"/>
          <w:szCs w:val="24"/>
          <w:vertAlign w:val="superscript"/>
        </w:rPr>
        <w:t>***</w:t>
      </w:r>
      <w:r>
        <w:rPr>
          <w:rFonts w:ascii="Wingdings-Regular" w:eastAsia="Wingdings-Regular" w:hAnsi="TimesNewRomanPSMT" w:cs="Wingdings-Regular"/>
          <w:color w:val="000000"/>
          <w:sz w:val="14"/>
          <w:szCs w:val="1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Gyógy- és Wellness Szálloda versenytársait illetően elmondható, hogy főként a Békés, valamint Hajdú-Bihar megyében található háromcsillagos szállodák tekinthetők fő riválisoknak, mivel kínálatuk szerkezete hasonló a Hoteléhez. Versenyelőnyként könyvelhető el a gyógy- és wellness szálloda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minősítés, mivel hasonló besorolással jóval kevesebb szálloda (az OGyFI nyilvántartása szerint összesen 7 db, melyből 2 Debrecenben, 5 pedig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Hajdúszoboszlón található) rendelkezik az említett megyékből.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Célpiacok, marketing stratégia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célpiacok felkutatásakor több tényezőt is érdemes figyelembe venni, például: nem, kor, családi állapot, jövedelmi viszonyok, lakóhely, érdeklődési kör, munkakör, nemzetiség. Szükséges számításba venni a szálloda adottságait, valamint a településen és a kistérségben rendelkezésre álló turisztikai lehetőségeket, programokat. Külön kell választani az egyéni és a csoportos (konferencia jellegű) turisztikai sajátosságokat is.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Hotel esetében a következő fogyasztói csoportok tekinthetők potenciális vendégkörnek: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Családok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Gyógyulni, feltöltődni vágyók (egészségturizmus szereplői)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Vadászati turizmus szereplői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Nyugdíjasok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Konferenciaturizmus résztvevői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Munkavégzés, továbbképzés, tréning miatt a településre látogatók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„beesők”, átutazók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Ezeket a fogyasztói csoportokat célzott reklámok segítségével lehet felkutatni, melyről bővebben a marketinggel kapcsolatos fejezet foglalkozik.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fogyasztói csoportok kiválasztása alapján a Hotel pozícionálása is megtörténik, mely predesztinálja a szükséges szolgáltatások igényekhez való igazítását és az alkalmazott marketingeszközök kiválasztását is.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2. A THERMAL HOTEL GARA</w:t>
      </w:r>
      <w:r>
        <w:rPr>
          <w:rFonts w:ascii="Wingdings-Regular,Bold" w:eastAsia="Wingdings-Regular,Bold" w:hAnsi="TimesNewRomanPSMT" w:cs="Wingdings-Regular,Bold"/>
          <w:b/>
          <w:bCs/>
          <w:color w:val="000000"/>
          <w:sz w:val="24"/>
          <w:szCs w:val="24"/>
          <w:vertAlign w:val="superscript"/>
        </w:rPr>
        <w:t>***</w:t>
      </w:r>
      <w:r>
        <w:rPr>
          <w:rFonts w:ascii="Wingdings-Regular,Bold" w:eastAsia="Wingdings-Regular,Bold" w:hAnsi="TimesNewRomanPSMT" w:cs="Wingdings-Regular,Bold"/>
          <w:b/>
          <w:bCs/>
          <w:color w:val="000000"/>
          <w:sz w:val="17"/>
          <w:szCs w:val="17"/>
        </w:rPr>
        <w:t xml:space="preserve"> </w:t>
      </w: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GYÓGY- ÉS WELLNESS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SZÁLLODA MARKETINGTERVE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</w:p>
    <w:p w:rsidR="00066DA0" w:rsidRPr="009C4DF4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lehetséges célcsoportok elemzése, valamint az alkalmazott marketingstratégi bemutatása előtt érdemes egy pár gondolatot ejteni arról, hogy következőkben leírtak milyen feltételek teljesülése esetén valósulhatnak meg.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 szálloda lehetséges jövőbeni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üzemeltetési alternatívái a következők lehetnek: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A szálloda bezárása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Üzemeltetés a jelenlegi feltételek módosítása nélkül (nincs felújítás)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Üzemeltetés a szálloda részleges felújítása mellett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Az első lehetőség esetén nincs szükség marketingterv kialakítására. A második esetben a hotel hosszú távú nyereséges üzemeltetése nem biztosított, mivel jelenleg a szolgáltatási színvonal (szobák, közösségi terek állapota, konyhatechnológia hiányosságai,költséghatékony üzemeltetés feltételeinek hiánya, gépészet elavultsága, stb.) nem éri el a háromcsillagos szintet és elmarad a versenytársak adottságaitól. Ez pedig azt eredményezi, hogy még a jelenlegi törzsvendégek megtartása is bizonytalan, nemhogy újabb célcsoportok felkutatása és a Hotelba „csábítása”. Mindezeken felül a kötelező HotelStars minősítés szempontrendszerének is meg kell felelni. A minősítés határideje: 2012. július 1.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következő elemzés tehát abból a feltételezésből indul ki, hogy a közeljövőben a szálloda értékesítését a jelenlegi színvonalat emelő felújítási munkálatok előzik meg.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A részletesebb áttekintés előtt nagyon fontos hangsúlyozni, hogy a szálloda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Kastélypark Fürdővel és Termálkempinggel való működési összevonása számtalan további lehetőséget rejt a hatékony értékesítés terén. Ezeket a szinergiákat kihasználva mindhárom egység maximálisan kiaknázhatja az egymás melletti fekvés és a még szélesebb szolgáltatási paletta által biztosított előnyöket. Ahhoz, hogy ezek az előnyök realizálódjanak, szükséges a mielőbbi párbeszéd a konkrét működés feltételeiről.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6"/>
          <w:szCs w:val="26"/>
        </w:rPr>
      </w:pPr>
      <w:r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>2.1. Ágazati áttekintés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6"/>
          <w:szCs w:val="26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Mint ahogyan a vezetői összefoglalóban már megállapítást nyert, a gazdasági válság negatív hatásai az idegenforgalmi szektorra is kiterjedtek. Nagy múltú szállodák kerültek „kalapács alá” (pl.: a debreceni Grand Hotel Aranybika****), több hotel finanszírozási nehézségek mellett volt kénytelen üzemelni és a bankok hitelezési politikájának szigorodásával a magyarországi idegenforgalom szempontjából fontos beruházások elindításának mellőzését is elősegítették (pl. a pécsi Nádor Szálló újranyitásához szükséges beruházás csúszása). A válság áldozatául estek több szállodával rendelkező cégek is (Cívis Hotels Zrt.) és az új projektek megtérülési ideje a korábbi 8 évhez képest 10-12 évre növekedett.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kormány a helyzet enyhítése érdekében 2009-ben 18%-ra mérsékelte a szállás és az önálló értékesítéssel nem bíró szolgáltatások (pl.: kötelező reggeli, uszodajegy)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ÁFA tartalmát. Mindemellett erős árverseny kezdődött a hotelek között a vendégek megtartása érdekében, melynek újabb, tőketartalékkal nem rendelkező szállodák estek áldozatául.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válság még egy fontos következménye a tudatosabb fogyasztói szokások kialakulása, melynek az ár a fő tényezője, valamint a megváltozott trendek az alábbi szempontok előtérbe kerülését eredményezték: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Belföldi turizmus erősödése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Tudatosabb kiválasztás a kínált szolgáltatások színvonalát és sokszínűségét illetően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A hangsúly az általánosról az egyedi felé tolódik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Egészségturizmus, „medical spa” szolgáltatások iránti igény erősödése (optimális esetben az átlagos tartózkodási idő növekedését eredményezi)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Kapcsolt szolgáltatások sokszínűsége és tartalmassága iránti igény növekedése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A demográfiai változások az idősebb korosztály turisztikai keresletének megnövekedését eredményezték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A természeti környezet minősége, vonzereje kiemelt jelentőségűvé válik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Egyre fontosabb a marketing szerepe, ezáltal a szállodák marketing jellegű kiadásainak növekedésével kell számolni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Egyedi, esetleg tájjellegű ízek iránti igény növekedése a gasztronómiában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6"/>
          <w:szCs w:val="26"/>
        </w:rPr>
      </w:pPr>
      <w:r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>2.2. A Thermal Hotel Gara</w:t>
      </w:r>
      <w:r>
        <w:rPr>
          <w:rFonts w:ascii="Wingdings-Regular,Bold" w:eastAsia="Wingdings-Regular,Bold" w:hAnsi="TimesNewRomanPSMT" w:cs="Wingdings-Regular,Bold"/>
          <w:b/>
          <w:bCs/>
          <w:color w:val="000000"/>
          <w:sz w:val="24"/>
          <w:szCs w:val="24"/>
          <w:vertAlign w:val="superscript"/>
        </w:rPr>
        <w:t>***</w:t>
      </w:r>
      <w:r>
        <w:rPr>
          <w:rFonts w:ascii="Wingdings-Regular,Bold" w:eastAsia="Wingdings-Regular,Bold" w:hAnsi="TimesNewRomanPSMT" w:cs="Wingdings-Regular,Bold"/>
          <w:b/>
          <w:bCs/>
          <w:color w:val="000000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>Gyógy- és Wellness Szálloda szolgáltatásainak bemutatása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6"/>
          <w:szCs w:val="26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Vezetői összefoglaló című fejezetben már felsorolásra kerültek a szálloda szolgáltatásai. Arról viszont érdemes említést tenni, hogy a szálloda szolgáltatásai mellett kiemelkedő szerepet töltenek be a környék által kínált programok, lehetőségek, amelyek vonzerővel bírhatnak az idelátogatók számára. Ezek a következők: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Ópusztaszeri Nemzeti Történeti Emlékpark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Körös–Maros Nemzeti Park területei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Dévaványai–Ecsegi puszták: Réhelyi Látogatóközpont (túzokrezervátum)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Mágor-puszta (régészeti ásatások)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Sinka Emlékház –Vésztő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Bélmegyeri Fás-puszta – Látogatható: előzetes bejelentés alapján kísérővel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Kis-Sárrét (Biharugra, Mezőgyán, Geszt térsége)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Sárréti Múzeum – Szeghalom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vízitúra lehetőségek (Sebes-Körös, Hortobágy-Berettyó)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horgászati lehetőségek (Füzesgyarmati bányatavak, Berettyó, Sebes-Körös,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Hármas-Körös, csökmői és darvasi halastavak, Dióéri csatorna, Kutas csatorna, holtágak, télen akár lékhorgászat az állóvizeken kellő jégvastagság estén)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vadászati lehetőségek (Füzesgyarmati Vadásztársaság, Hunor vadásztársaság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Szeghalom, Töviskesi Vadásztársaság, Horgász-Vadász központ fejlesztése)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természetfotózás, videózás, madármegfigyelés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lovastúrák, fogattúrák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Körös-Sárréti Kéműves Műhely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folklór programok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Füzesgyarmati Tájház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„Mundérba bújt történelem” kiállítás – Szeghalom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6"/>
          <w:szCs w:val="26"/>
        </w:rPr>
      </w:pPr>
      <w:r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>2.3. Piaci szegmentáció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6"/>
          <w:szCs w:val="26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Ahhoz, hogy a hotelt pozícionálni lehessen az idegenforgalmi piacon, szükséges meghatározni azt a célközönséget, akiknek a szálloda értékesíteni tudja szolgáltatásait. A pozícionálás során a következő potenciális vendégköröket lehet megkülönböztetni: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a) belföldi egyéni vendégek: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családosok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nyugdíjasok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családok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szakorvosi beutalóval rendelkező vendégek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üdülési csekkel rendelkezők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egészségpénztári tagok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gyógyászati kezeléseket igénybe vevők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„beesők”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vadászok, horgászok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természeti adottságok iránt érdeklődők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b) külföldi egyéni vendégek: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„beesők”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utazási irodák által küldött vendégek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külföldi vendégek spa, wellness céljából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tájvédelmi körzet közelségéből adódóan külföldi természetfigyelők, -búvárok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munkavégzés céljából ideérkező vendégek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c) belföldi csoportok: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céges rendezvények, tréningek, konferenciák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baráti társaságok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utazási irodák által szervezett csoportos utak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d) külföldi csoportok: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céges rendezvények, tréningek, konferenciák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utazási irodák által szervezett csoportos utak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vadászok, évente megrendezésre kerülő solymásztalálkozó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Hotel lehetőségein felül figyelembe kell venni az étterem és a gyógyászati részleg külön, szállásigénnyel nem társuló lehetőségeit is, melyek a következők: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a) étterem: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helyi, környékbeli vendégek által generált a’ la carte forgalom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kitelepülés rendezvényekre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éttermi rendezvények (ballagás, esküvő, születésnap, stb.)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b) gyógyászat, wellness: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kistérségi betegek OEP finanszírozott gyógy ellátása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helyiek, környékbeliek wellness igényeinek kielégítése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a szomszédos egyéni szálláshelyek vendégeinek gyógy- és wellness kezelései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jelenlegi adottságokból eredő általános cél a középréteg megkeresése az egyéni vendégek terén. Csoportok esetén a maximum 180-200 fős konferenciák (a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Kastélypark Fürdővel való egyesüléssel nagyobb létszám elhelyezése is megoldható), tréningek leszervezése, az ezekhez vezető értékesítési csatornák felkutatása és használata az elsődleges feladat.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hotel részleges felújításával további célcsoportok érhetők el: nemcsak a hazai és kelet-európai térség, hanem a nyugat-európai országok hazánkba látogató vendégeit is meg lehet célozni kedvező ár-érték arányú, magas színvonalú szolgáltatásokkal.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6"/>
          <w:szCs w:val="26"/>
        </w:rPr>
      </w:pPr>
      <w:r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>2.4. Versenytársak vizsgálata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6"/>
          <w:szCs w:val="26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piaci szereplőket áttekintve látható, hogy versenytársként 30 km-es körzeten belül csak a szeghalmi Hidi Panzió és Étterem, Layer Vállalkozói Központ, Puszta Csárda említhető meg, bár a kategóriába sorolást illetően egyik szálláshely sem rendelkezik hasonló adottságokkal és osztályba sorolással, csak szállásadóként és étteremként vannak jelen a turisztikai piacon. A helyi panziók, vendégházak esetében hasonló következtetéseket lehet levonni: sem kapacitásukban, kategóriájukban, sem pedig szolgáltatásuk mennyiségében és minőségében nem rendelkeznek hasonló adottságokkal. Tágabb környezetet véve alapul a következő városok szállodái tekinthetők közvetlen versenytársnak (a kategóriába sorolást és az adottságokat alapul véve):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Debrecen: </w:t>
      </w:r>
      <w:r>
        <w:rPr>
          <w:rFonts w:ascii="TimesNewRomanPSMT" w:hAnsi="TimesNewRomanPSMT" w:cs="TimesNewRomanPSMT"/>
          <w:color w:val="000000"/>
          <w:sz w:val="24"/>
          <w:szCs w:val="24"/>
        </w:rPr>
        <w:t>Hotel Nagyerdő***, Best Western Hotel Kálvin***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Hajdúszoboszló: </w:t>
      </w:r>
      <w:r>
        <w:rPr>
          <w:rFonts w:ascii="TimesNewRomanPSMT" w:hAnsi="TimesNewRomanPSMT" w:cs="TimesNewRomanPSMT"/>
          <w:color w:val="000000"/>
          <w:sz w:val="24"/>
          <w:szCs w:val="24"/>
        </w:rPr>
        <w:t>Hotel Hőforrás***, Hotel Béke***, Mátyás Király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Gyógyszálloda***, Cívis Hotel Délibáb***, HungaroSpa Thermal Hotel***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Gyula: </w:t>
      </w:r>
      <w:r>
        <w:rPr>
          <w:rFonts w:ascii="TimesNewRomanPSMT" w:hAnsi="TimesNewRomanPSMT" w:cs="TimesNewRomanPSMT"/>
          <w:color w:val="000000"/>
          <w:sz w:val="24"/>
          <w:szCs w:val="24"/>
        </w:rPr>
        <w:t>Erkel Hotel***, Hotel Agro***, Cívis Hotel Park***,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Szarvas: </w:t>
      </w:r>
      <w:r>
        <w:rPr>
          <w:rFonts w:ascii="TimesNewRomanPSMT" w:hAnsi="TimesNewRomanPSMT" w:cs="TimesNewRomanPSMT"/>
          <w:color w:val="000000"/>
          <w:sz w:val="24"/>
          <w:szCs w:val="24"/>
        </w:rPr>
        <w:t>Liget Wellness és Konferencia Hotel***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Békéscsaba: </w:t>
      </w:r>
      <w:r>
        <w:rPr>
          <w:rFonts w:ascii="TimesNewRomanPSMT" w:hAnsi="TimesNewRomanPSMT" w:cs="TimesNewRomanPSMT"/>
          <w:color w:val="000000"/>
          <w:sz w:val="24"/>
          <w:szCs w:val="24"/>
        </w:rPr>
        <w:t>Fenyves Garzon Hotel***, Sport Hotel, Fiume*** Szálló és Étterem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fenti szállodák értékesítési és árpolitikája nagyban befolyásolja a Hotel sikerességét, továbbá előnyösebb elhelyezkedésük miatt (nagyobb városok, fürdőközpontok, főutak közelsége) helyzeti előnyben vannak a Thermal Hotel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Gara*** Gyógy- és Wellness Szállodával szemben. A versenyelőny némi mérséklésére szolgálhat az, hogy a szálloda a fent felsorolt létesítményekkel ellentétben nyugodt környezetben kínálja szolgáltatásait, melynek következménye, hogy a megcélzott vendégek részben különböző társadalmi és földrajzi elhelyezkedésű csoportokból érkeznek (pl. budapesti hétköznapokból menekülni vágyók), valamint Füzesgyarmaton – Debrecennel vagy Hajdúszoboszlóval ellentétben – nincsenek konkurens hotelek 40 kilométeres körzeten belül. Fontos megemlíteni továbbá a gyógyszálló minősítést, melyet a fenti versenytársak közül csak 4 szálloda (az országban is csak összesen 31!, lásd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1. számú melléklet</w:t>
      </w:r>
      <w:r>
        <w:rPr>
          <w:rFonts w:ascii="TimesNewRomanPSMT" w:hAnsi="TimesNewRomanPSMT" w:cs="TimesNewRomanPSMT"/>
          <w:color w:val="000000"/>
          <w:sz w:val="24"/>
          <w:szCs w:val="24"/>
        </w:rPr>
        <w:t>) birtokol hivatalosan.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6"/>
          <w:szCs w:val="26"/>
        </w:rPr>
      </w:pPr>
      <w:r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>2.5. A Thermal Hotel Gara*** Gyógy- és Wellness Szálloda SWOT analízise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6"/>
          <w:szCs w:val="26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Erősségek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gyógy- és wellness szállóvá való minősítés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körzeti besorolású gyógyászati létesítmény (OEP finanszírozott fürdőgyógyászati kezelések)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gyógyvíz jelenléte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gyógyászati és wellness szolgáltatások széles körűek, komplexek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jó adottságok konferenciahelyszínhez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nyugodt környezet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akadálymentesítés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konkurencia hiánya kistérségi szinten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meglévő kerékpárút hálózat és további fejlesztések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vadászati, horgászati, túrázási lehetőségek a környéken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település határmenti fekvése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erős gasztronómia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családias környezet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Gyengeségek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rossz megközelíthetőség, utak minősége, autópálya, főút hiánya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Budapesttől való távolság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infrastrukturális hátrányok, hiányok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kevés és nem összehangolt marketing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egységes arculat hiánya a településen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turisztikai vállalkozói aktivitás gyenge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alacsony ismertségi index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marketingköltségek alacsony szintje az elmúlt időszakban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szolgáltatások eszközeinek hiányosságai, elhasználtsága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épület külső, belső állapota, tervezési és kivitelezési hiányosságok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nyelvismeret hiánya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a térségben levő szakemberhiány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turisztikai szakképzés hiányos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rendezvénynaptár következetlen, hiányos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turisztikai koncepció hiánya a településen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Lehetőségek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a szálloda felújításából adódó előnyök kihasználása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a szálloda helyes pozicionálása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konferencia turizmus további fejlesztése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a megfelelő vendégmix kialakítása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pályázatok hatékony kihasználása a szálloda további fejlesztésének segítésére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új szolgáltatások bevezetése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új piaci szegmensek megnyerése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piaci pozíció erősítése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költségek racionalizálása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kistérségi összefogás, együttműködés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falusi turizmusra való építkezés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egészségturizmus iránti keresletnövekedés hatékony kihasználása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Veszélyek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a szálloda helytelen pozicionálása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nem hatékony marketing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rossz vendégmixből adódó elégedetlenség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nem hatékony költségfelhasználás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külső környezeti tényezők előnytelen alakulása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új szolgáltatások kihasználtsága gyenge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túl alacsony árak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felújítás elhalasztása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pályázatok hiánya a régióban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6"/>
          <w:szCs w:val="26"/>
        </w:rPr>
      </w:pPr>
      <w:r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>2.6. A Thermal Hotel Gara</w:t>
      </w:r>
      <w:r>
        <w:rPr>
          <w:rFonts w:ascii="Wingdings-Regular,Bold" w:eastAsia="Wingdings-Regular,Bold" w:hAnsi="TimesNewRomanPSMT" w:cs="Wingdings-Regular,Bold"/>
          <w:b/>
          <w:bCs/>
          <w:color w:val="000000"/>
          <w:sz w:val="16"/>
          <w:szCs w:val="16"/>
        </w:rPr>
        <w:t>***</w:t>
      </w:r>
      <w:r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>Gyógy- és Wellness Szálloda marketingmixe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6"/>
          <w:szCs w:val="26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a) termékek, szolgáltatások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Hotel szolgáltatási skáláját ismerve elmondható, hogy annak sokszínűsége több piaci csoport megszerzésére és megtartására is elegendő lehet. Folyamatosan érdemes figyelni, adaptálni az aktuális trendeket, de ennek nem lehet a kialakult arculat rovására mennie. A szolgáltatások magas színvonalon, szakképzett munkaerővel történő biztosítása alapvető feltétel az értékesítési stratégia szempontjából. Így lehet szavatolni a törzsvendégkör megtartását, valamint új vendégek szerzését. A korábbi törzsvendégek „visszaszerzése” stratégiai cél lehet, melyet egy rég beváltott ígérettel, a sokat hangoztatott felújítás részleges megvalósításával el is lehetne érni. A szálloda felújítása a szolgáltatás minősége szempontjából kulcsfontosságú tényező, ennek hiányában a hosszú távú sikeres értékesítés kivitelezése lehetetlen vállalkozásnak tűnik.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b) árképzés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szálloda helyes árképzése az értékesítése elengedhetetlen feltétele. A szolgáltatások árainak helyes megválasztása a versenytársak áraihoz képest is fontos információtartalommal bír, továbbá meghatározza azt a vendégkört is, akik a jövőben a szállodát választják utazásuk célpontjául.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szállodának többlépcsős árképzésre van szüksége, melyben a következő szempontok figyelembe vétele mérvadó: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értékesítési időszak (elő-, közép-, fő-, utószezon)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csomagok időtartama, szolgáltatások mennyisége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szobatípusok értékesítése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érkezők létszáma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kedvezmények érvényesítése (gyermekkedvezmény, törzsvendég kedvezmény, szerződések alapján vállalt kedvezmény, stb.)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versenytársak árai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Ezen feltételek figyelembe vételével érdemes a szálloda értékesítési árait meghatározni. Mint ahogyan az a később ismertetett pénzügyi elemzés alapadataiból kiderül, elsődleges célként a kihasználtság növelése tekinthető, mindemellett az 1.2. pontban ismertetett átlagos szobaárhoz való felzárkózás is elengedhetetlen a szálloda nyereséges üzemeltetéséhez.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c) értékesítés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Itt kell meghatározni azt, hogy milyen csatornákon kell eljuttatni a Hotel szolgáltatásaival és a hozzá kapcsolódó árakkal kapcsolatos információkat.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Az eddigi értékesítés politika – a költségvetés szűkössége, valamint a szálloda jelenlegi állapota miatt – nem volt túl fantáziadús. Elsőként érdemes külön választani azt, hogy milyen értékesítési csatornákat érdemes felhasználni a szálloda szolgáltatásainak népszerűsítésére: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nyomtatott sajtó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online lehetőségek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televízió, rádió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saját készítésű anyagok (prospektusok, szórólapok)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közvetítők (utazási irodák, kiállítók, stb.)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fenti lehetőségek helyes kombinációban és időszakban történő felhasználásával minden, a szálloda számára fontos célcsoport elérhetővé válik. Az értékesítési csatornák kiválasztásával sikerül a marketing jellegű kiadásokat is nagyságrendileg behatárolni.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Érdemes az online értékesítésben rejlő lehetőségeket mind nagyobb mértékben kihasználni, mivel egyre több felhasználó választja az internet adta tájékozódási lehetőségeket a „klasszikus” médiumokkal szemben (pl. újság, televíziós hirdetés,stb.).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d) marketingkommunikáció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Itt kell meghatározni azt, hogy a Hotel milyen típusú kommunikációval szeretné meggyőzni a potenciális vendégköröket arról, hogy utazásuk célpontja a szálloda legyen. Több lehetőség kínálkozik ennek elérésére: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Reklámozás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PR (közönségkapcsolatok)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Eladásösztönzés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Személyes meggyőzés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Direkt marketing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legfontosabb, hogy a szálloda egységes arculatát kommunikálja, jól érzékelhető értékrenddel, szolgáltatási minőséggel. A szálloda hirdetéseinek stílusa minden </w:t>
      </w:r>
      <w:bookmarkStart w:id="0" w:name="_GoBack"/>
      <w:bookmarkEnd w:id="0"/>
      <w:r>
        <w:rPr>
          <w:rFonts w:ascii="TimesNewRomanPSMT" w:hAnsi="TimesNewRomanPSMT" w:cs="TimesNewRomanPSMT"/>
          <w:color w:val="000000"/>
          <w:sz w:val="24"/>
          <w:szCs w:val="24"/>
        </w:rPr>
        <w:t>értékesítési csatorna esetében legyen azonos, hogy a célcsoportok egyértelműen a hotellel tudják összekapcsolni a különböző helyeken és időben megjelenő hirdetéseket.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Amennyiben a szálloda felújításra kerül, érdemes ezt hangsúlyozni pl. egy új honlap készítésével, amely érzékelteti a minőségi változás tényét. Új logo szerkesztése, fotók frissítése és a változások hangsúlyos érzékeltetése lenne a marketingkommunikáció elsődleges feladata az újranyitást követő időszakban. Mint ahogyan ez már korábban rögzítésre került, a legfontosabb cél a kihasználtság növelése és szezonális ingadozásának mérséklése a 2012-ben.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3. A THERMAL HOTEL GARA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 w:val="17"/>
          <w:szCs w:val="17"/>
        </w:rPr>
        <w:t>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 w:val="17"/>
          <w:szCs w:val="17"/>
        </w:rPr>
        <w:t>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 w:val="17"/>
          <w:szCs w:val="17"/>
        </w:rPr>
        <w:t></w:t>
      </w:r>
      <w:r>
        <w:rPr>
          <w:rFonts w:ascii="Wingdings-Regular,Bold" w:eastAsia="Wingdings-Regular,Bold" w:hAnsi="TimesNewRomanPSMT" w:cs="Wingdings-Regular,Bold"/>
          <w:b/>
          <w:bCs/>
          <w:color w:val="000000"/>
          <w:sz w:val="17"/>
          <w:szCs w:val="17"/>
        </w:rPr>
        <w:t xml:space="preserve"> </w:t>
      </w: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GYÓGY- ÉS WELLNESS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SZÁLLODA SZERVEZETI FELÉPÍTÉSE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szálloda hatékony üzemeltetéséhez szükség van a megfelelő személyzet kiválasztására. A szükséges kezdő létszám feltérképezéséhez az alábbi szervezeti felépítési modell javasolt (a modell csak a szállodában operatívan dolgozó személyzetet mutatja, az ügyvezetői és tulajdonosi szintet nem):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E42EF">
        <w:rPr>
          <w:rFonts w:ascii="TimesNewRomanPSMT" w:hAnsi="TimesNewRomanPSMT" w:cs="TimesNewRomanPSMT"/>
          <w:noProof/>
          <w:color w:val="000000"/>
          <w:sz w:val="24"/>
          <w:szCs w:val="24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3" o:spid="_x0000_i1025" type="#_x0000_t75" style="width:444.75pt;height:243pt;visibility:visible">
            <v:imagedata r:id="rId8" o:title=""/>
          </v:shape>
        </w:pic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Az ábrából látszik, hogy a szálloda szervezeti felépítése egyvonalas, funkcionális elv alapján rendezett és 3 szintre van tagolva, melyek a következők:</w:t>
      </w:r>
    </w:p>
    <w:p w:rsidR="00066DA0" w:rsidRPr="00492A59" w:rsidRDefault="00066DA0" w:rsidP="00492A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492A59">
        <w:rPr>
          <w:rFonts w:ascii="TimesNewRomanPSMT" w:hAnsi="TimesNewRomanPSMT" w:cs="TimesNewRomanPSMT"/>
          <w:color w:val="000000"/>
          <w:sz w:val="24"/>
          <w:szCs w:val="24"/>
        </w:rPr>
        <w:t>Igazgató</w:t>
      </w:r>
    </w:p>
    <w:p w:rsidR="00066DA0" w:rsidRPr="00492A59" w:rsidRDefault="00066DA0" w:rsidP="00492A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492A59">
        <w:rPr>
          <w:rFonts w:ascii="TimesNewRomanPSMT" w:hAnsi="TimesNewRomanPSMT" w:cs="TimesNewRomanPSMT"/>
          <w:color w:val="000000"/>
          <w:sz w:val="24"/>
          <w:szCs w:val="24"/>
        </w:rPr>
        <w:t>Középvezetők, irodai dolgozók</w:t>
      </w:r>
    </w:p>
    <w:p w:rsidR="00066DA0" w:rsidRPr="00492A59" w:rsidRDefault="00066DA0" w:rsidP="00492A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492A59">
        <w:rPr>
          <w:rFonts w:ascii="TimesNewRomanPSMT" w:hAnsi="TimesNewRomanPSMT" w:cs="TimesNewRomanPSMT"/>
          <w:color w:val="000000"/>
          <w:sz w:val="24"/>
          <w:szCs w:val="24"/>
        </w:rPr>
        <w:t>Végrehajtó alkalmazottak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szálloda működésére egy általános, ún. Házirend, vagy Aranyszabályok nevű iratot fogalmazunk meg, mely tartalmazza az összes munkavállalóra általánosan érvényes szabályokat. Ezen kívül minden egyes szinten és a szinteken belüli munkakörök esetén is meghatározzuk:</w:t>
      </w:r>
    </w:p>
    <w:p w:rsidR="00066DA0" w:rsidRPr="00492A59" w:rsidRDefault="00066DA0" w:rsidP="00492A5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492A59">
        <w:rPr>
          <w:rFonts w:ascii="TimesNewRomanPSMT" w:hAnsi="TimesNewRomanPSMT" w:cs="TimesNewRomanPSMT"/>
          <w:color w:val="000000"/>
          <w:sz w:val="24"/>
          <w:szCs w:val="24"/>
        </w:rPr>
        <w:t>Munkaszerződés</w:t>
      </w:r>
    </w:p>
    <w:p w:rsidR="00066DA0" w:rsidRPr="00492A59" w:rsidRDefault="00066DA0" w:rsidP="00492A5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492A59">
        <w:rPr>
          <w:rFonts w:ascii="TimesNewRomanPSMT" w:hAnsi="TimesNewRomanPSMT" w:cs="TimesNewRomanPSMT"/>
          <w:color w:val="000000"/>
          <w:sz w:val="24"/>
          <w:szCs w:val="24"/>
        </w:rPr>
        <w:t>Munkaköri leírás</w:t>
      </w:r>
    </w:p>
    <w:p w:rsidR="00066DA0" w:rsidRPr="00492A59" w:rsidRDefault="00066DA0" w:rsidP="00492A5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492A59">
        <w:rPr>
          <w:rFonts w:ascii="TimesNewRomanPSMT" w:hAnsi="TimesNewRomanPSMT" w:cs="TimesNewRomanPSMT"/>
          <w:color w:val="000000"/>
          <w:sz w:val="24"/>
          <w:szCs w:val="24"/>
        </w:rPr>
        <w:t>Leltárfelelősségi nyilatkozat</w:t>
      </w:r>
    </w:p>
    <w:p w:rsidR="00066DA0" w:rsidRPr="00492A59" w:rsidRDefault="00066DA0" w:rsidP="00492A5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492A59">
        <w:rPr>
          <w:rFonts w:ascii="TimesNewRomanPSMT" w:hAnsi="TimesNewRomanPSMT" w:cs="TimesNewRomanPSMT"/>
          <w:color w:val="000000"/>
          <w:sz w:val="24"/>
          <w:szCs w:val="24"/>
        </w:rPr>
        <w:t>Titoktartási nyilatkozat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folyamatok koordinálására standardeket rögzítünk, mely a munkafolyamatok minőségét és precizitását szavatolja.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Az eddigi személyzeti problémák kiküszöbölésére minden pozícióra pontosabban rögzített munkaköri leírást, döntési, utasítási, beszámolási útvonalakat állítunk össze. Meghatározzuk továbbá azt is, hogy milyen szolgálati utak érvényesek a problémák, utasítások, jelentések, stb. továbbítására, ezáltal minimalizáljuk a fölösleges információáramlást és a közép- és felsővezetők indokolatlan leterheltségét és minden alkalmazottat a saját feladatának és kötelezettségeinek ellátására sarkallunk.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szakképesítés nélkül végezhető feladatokra (takarítás, kertészet, konyhai kisegítés) a közmunkaprogramban részt vevő munkavállalókat tervezzük alkalmazni.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4. A THERMAL HOTEL GARA</w:t>
      </w:r>
      <w:r>
        <w:rPr>
          <w:rFonts w:ascii="Wingdings-Regular,Bold" w:eastAsia="Wingdings-Regular,Bold" w:hAnsi="TimesNewRomanPSMT" w:cs="Wingdings-Regular,Bold"/>
          <w:b/>
          <w:bCs/>
          <w:color w:val="000000"/>
          <w:sz w:val="16"/>
          <w:szCs w:val="16"/>
        </w:rPr>
        <w:t xml:space="preserve"> </w:t>
      </w:r>
      <w:r>
        <w:rPr>
          <w:rFonts w:ascii="Wingdings-Regular,Bold" w:eastAsia="Wingdings-Regular,Bold" w:hAnsi="TimesNewRomanPSMT" w:cs="Wingdings-Regular,Bold"/>
          <w:b/>
          <w:bCs/>
          <w:color w:val="000000"/>
          <w:sz w:val="24"/>
          <w:szCs w:val="24"/>
          <w:vertAlign w:val="superscript"/>
        </w:rPr>
        <w:t>***</w:t>
      </w:r>
      <w:r>
        <w:rPr>
          <w:rFonts w:ascii="Wingdings-Regular,Bold" w:eastAsia="Wingdings-Regular,Bold" w:hAnsi="TimesNewRomanPSMT" w:cs="Wingdings-Regular,Bold"/>
          <w:b/>
          <w:bCs/>
          <w:color w:val="000000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GYÓGY- ÉS WELLNESS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SZÁLLODA PÉNZÜGYI TERVE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Hotel 2014. évre szóló pénzügyi tervét a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2. számú melléklet </w:t>
      </w:r>
      <w:r>
        <w:rPr>
          <w:rFonts w:ascii="TimesNewRomanPSMT" w:hAnsi="TimesNewRomanPSMT" w:cs="TimesNewRomanPSMT"/>
          <w:color w:val="000000"/>
          <w:sz w:val="24"/>
          <w:szCs w:val="24"/>
        </w:rPr>
        <w:t>tartalmazza. A terv kiindulási alapja, hogy a szálloda 2014 március 1-ig újra kinyitja kapuit, melyet részleges felújítási munkálatok és tudatos, hatékony értékesítés előz meg.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Mivel az elmúlt évek tapasztalatai alapján elmondható, hogy a csomagos értékesítés tette ki az összes értékesítés 99%-át, így a félpanziós étkezés mennyisége is ennek megfelelően került kiszámításra (innen a félpanziós étkezés 90%-os kihasználtsága).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gyógyászati bevételek esetén az eddig tapasztalt kezelésszám képezte a jövőbeni becslések alapját. Ez a kalkuláció nem számol a külföldi vendégek gyógyászati egységben igénybe vett kezeléseivel, amely abban az esetben válhat reálissá, amennyiben sikerül a külföldi piacok felé hatékonyan nyitni és minél több vendéget a szállodába „csábítani”.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költségszámítások alapját a korábbi évek tényadatai képezték. A költséghatékony működésre való törekvés az alábbi, nagyobb részarányt kitevő tételeken érhető tetten: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Elektromos energia: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energia szabadpiacon történő értékesítésének elindításával lehetőség nyílt alacsonyabb egységárak alkalmazására, mely az energiadíj több, mint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30%-os csökkenését eredményezte az elmúlt egy évben. Mindemellett további energiafelhasználást csökkentő intézkedést sikerült elindítani (energiatakarékos izzók használata, szobai csillárok egy izzós lámpákra való cseréjének elindítása, stb.)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Gázszolgáltatás: </w:t>
      </w:r>
      <w:r>
        <w:rPr>
          <w:rFonts w:ascii="TimesNewRomanPSMT" w:hAnsi="TimesNewRomanPSMT" w:cs="TimesNewRomanPSMT"/>
          <w:color w:val="000000"/>
          <w:sz w:val="24"/>
          <w:szCs w:val="24"/>
        </w:rPr>
        <w:t>mivel az átvett termálvíz 38 Celsius fokra való hűtését természetes úton kell elvégezni, lehetőségként kínálkozik a nyert hőenergia fűtési célokra való hasznosítása, mely a gázenergia felhasználásából adódó költségek nagymértékű csökkentését segíti elő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Bizonyos területeken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munkaügyi központ által támogatott munkavállalók </w:t>
      </w:r>
      <w:r>
        <w:rPr>
          <w:rFonts w:ascii="TimesNewRomanPSMT" w:hAnsi="TimesNewRomanPSMT" w:cs="TimesNewRomanPSMT"/>
          <w:color w:val="000000"/>
          <w:sz w:val="24"/>
          <w:szCs w:val="24"/>
        </w:rPr>
        <w:t>felvétele a személy jellegű költségek csökkentése érdekében (ez a tényező nem lett beépítve az eredménytervbe, csak tartalékként jelentkezik, mivel csak bizonyos, speciális képesítést nem igénylő pozíciókban lehetséges a munkaügy által támogatott munkavállalók alkalmazása)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Gyakorlati képzés megvalósítása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vendéglátásban, aminek költségei a szakképzési hozzájárulás terhére elszámolhatók, valamint további, technológiafejlesztéssel kapcsolatos pályázati támogatások elnyerését teszi lehetővé (ezek az összegek a 2014-es évre még nem lettek betervezve).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6E42EF">
        <w:rPr>
          <w:rFonts w:ascii="TimesNewRomanPS-BoldMT" w:hAnsi="TimesNewRomanPS-BoldMT" w:cs="TimesNewRomanPS-BoldMT"/>
          <w:b/>
          <w:bCs/>
          <w:noProof/>
          <w:color w:val="000000"/>
          <w:sz w:val="32"/>
          <w:szCs w:val="32"/>
          <w:lang w:eastAsia="hu-HU"/>
        </w:rPr>
        <w:pict>
          <v:shape id="Kép 5" o:spid="_x0000_i1026" type="#_x0000_t75" style="width:444pt;height:605.25pt;visibility:visible">
            <v:imagedata r:id="rId9" o:title=""/>
          </v:shape>
        </w:pic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6E42EF">
        <w:rPr>
          <w:rFonts w:ascii="TimesNewRomanPS-BoldMT" w:hAnsi="TimesNewRomanPS-BoldMT" w:cs="TimesNewRomanPS-BoldMT"/>
          <w:b/>
          <w:bCs/>
          <w:noProof/>
          <w:color w:val="000000"/>
          <w:sz w:val="32"/>
          <w:szCs w:val="32"/>
          <w:lang w:eastAsia="hu-HU"/>
        </w:rPr>
        <w:pict>
          <v:shape id="Kép 6" o:spid="_x0000_i1027" type="#_x0000_t75" style="width:448.5pt;height:586.5pt;visibility:visible">
            <v:imagedata r:id="rId10" o:title=""/>
          </v:shape>
        </w:pic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066DA0" w:rsidRDefault="00066DA0" w:rsidP="001257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066DA0" w:rsidRDefault="00066DA0" w:rsidP="001257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066DA0" w:rsidRDefault="00066DA0" w:rsidP="001257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2. számú melléklet:</w:t>
      </w:r>
    </w:p>
    <w:p w:rsidR="00066DA0" w:rsidRDefault="00066DA0" w:rsidP="001257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Thermal Hotel Gara</w:t>
      </w:r>
      <w:r>
        <w:rPr>
          <w:rFonts w:ascii="Wingdings-Regular" w:eastAsia="Wingdings-Regular" w:hAnsi="TimesNewRomanPSMT" w:cs="Wingdings-Regular"/>
          <w:color w:val="000000"/>
          <w:sz w:val="24"/>
          <w:szCs w:val="24"/>
          <w:vertAlign w:val="superscript"/>
        </w:rPr>
        <w:t>***</w:t>
      </w:r>
      <w:r>
        <w:rPr>
          <w:rFonts w:ascii="Wingdings-Regular" w:eastAsia="Wingdings-Regular" w:hAnsi="TimesNewRomanPSMT" w:cs="Wingdings-Regular"/>
          <w:color w:val="000000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>Gyógy- és Wellness Szálloda eredményterve</w:t>
      </w:r>
    </w:p>
    <w:p w:rsidR="00066DA0" w:rsidRDefault="00066DA0" w:rsidP="001257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2012</w:t>
      </w:r>
    </w:p>
    <w:tbl>
      <w:tblPr>
        <w:tblW w:w="9157" w:type="dxa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253"/>
        <w:gridCol w:w="3827"/>
        <w:gridCol w:w="2552"/>
        <w:gridCol w:w="1525"/>
      </w:tblGrid>
      <w:tr w:rsidR="00066DA0" w:rsidRPr="006D04BA">
        <w:tc>
          <w:tcPr>
            <w:tcW w:w="12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i/>
                <w:iCs/>
                <w:color w:val="000000"/>
              </w:rPr>
            </w:pPr>
            <w:r w:rsidRPr="006D04BA">
              <w:rPr>
                <w:rFonts w:ascii="TimesNewRomanPSMT" w:hAnsi="TimesNewRomanPSMT" w:cs="TimesNewRomanPSMT"/>
                <w:i/>
                <w:iCs/>
                <w:color w:val="000000"/>
              </w:rPr>
              <w:t>Sorszám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color w:val="000000"/>
              </w:rPr>
            </w:pPr>
            <w:r w:rsidRPr="006D04BA">
              <w:rPr>
                <w:rFonts w:ascii="TimesNewRomanPSMT" w:hAnsi="TimesNewRomanPSMT" w:cs="TimesNewRomanPSMT"/>
                <w:b/>
                <w:bCs/>
                <w:color w:val="000000"/>
              </w:rPr>
              <w:t>NETTÓ ADATOK FT-BAN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  <w:r w:rsidRPr="006D04BA">
              <w:rPr>
                <w:rFonts w:ascii="TimesNewRomanPSMT" w:hAnsi="TimesNewRomanPSMT" w:cs="TimesNewRomanPSMT"/>
                <w:b/>
                <w:bCs/>
                <w:color w:val="000000"/>
              </w:rPr>
              <w:t>2012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  <w:r w:rsidRPr="006D04BA">
              <w:rPr>
                <w:rFonts w:ascii="TimesNewRomanPSMT" w:hAnsi="TimesNewRomanPSMT" w:cs="TimesNewRomanPSMT"/>
                <w:b/>
                <w:bCs/>
                <w:color w:val="000000"/>
              </w:rPr>
              <w:t>HAVI ÁTLAG</w:t>
            </w:r>
          </w:p>
        </w:tc>
      </w:tr>
      <w:tr w:rsidR="00066DA0" w:rsidRPr="006D04BA">
        <w:tc>
          <w:tcPr>
            <w:tcW w:w="1253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b/>
                <w:bCs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 xml:space="preserve">                  </w:t>
            </w:r>
            <w:r w:rsidRPr="006D04BA">
              <w:rPr>
                <w:rFonts w:ascii="TimesNewRomanPSMT" w:hAnsi="TimesNewRomanPSMT" w:cs="TimesNewRomanPSMT"/>
                <w:b/>
                <w:bCs/>
                <w:color w:val="000000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color w:val="000000"/>
              </w:rPr>
            </w:pPr>
            <w:r w:rsidRPr="006D04BA">
              <w:rPr>
                <w:rFonts w:ascii="TimesNewRomanPSMT" w:hAnsi="TimesNewRomanPSMT" w:cs="TimesNewRomanPSMT"/>
                <w:b/>
                <w:bCs/>
                <w:color w:val="000000"/>
              </w:rPr>
              <w:t>BEVÉTELEK</w:t>
            </w:r>
          </w:p>
        </w:tc>
        <w:tc>
          <w:tcPr>
            <w:tcW w:w="1525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i/>
                <w:iCs/>
                <w:color w:val="000000"/>
              </w:rPr>
              <w:t xml:space="preserve">                  </w:t>
            </w:r>
          </w:p>
        </w:tc>
        <w:tc>
          <w:tcPr>
            <w:tcW w:w="637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i/>
                <w:iCs/>
                <w:color w:val="000000"/>
              </w:rPr>
              <w:t>Szállás</w:t>
            </w:r>
          </w:p>
        </w:tc>
        <w:tc>
          <w:tcPr>
            <w:tcW w:w="1525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1</w:t>
            </w:r>
          </w:p>
        </w:tc>
        <w:tc>
          <w:tcPr>
            <w:tcW w:w="3827" w:type="dxa"/>
            <w:tcBorders>
              <w:left w:val="single" w:sz="18" w:space="0" w:color="auto"/>
              <w:right w:val="nil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Szobakiadás</w:t>
            </w:r>
          </w:p>
        </w:tc>
        <w:tc>
          <w:tcPr>
            <w:tcW w:w="2552" w:type="dxa"/>
            <w:tcBorders>
              <w:left w:val="nil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2</w:t>
            </w:r>
          </w:p>
        </w:tc>
        <w:tc>
          <w:tcPr>
            <w:tcW w:w="3827" w:type="dxa"/>
            <w:tcBorders>
              <w:left w:val="single" w:sz="18" w:space="0" w:color="auto"/>
              <w:right w:val="nil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Egyéb</w:t>
            </w:r>
          </w:p>
        </w:tc>
        <w:tc>
          <w:tcPr>
            <w:tcW w:w="2552" w:type="dxa"/>
            <w:tcBorders>
              <w:left w:val="nil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3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color w:val="000000"/>
              </w:rPr>
            </w:pPr>
            <w:r w:rsidRPr="006D04BA">
              <w:rPr>
                <w:rFonts w:ascii="TimesNewRomanPSMT" w:hAnsi="TimesNewRomanPSMT" w:cs="TimesNewRomanPSMT"/>
                <w:i/>
                <w:iCs/>
                <w:color w:val="000000"/>
              </w:rPr>
              <w:t>Szállás összesen</w:t>
            </w:r>
          </w:p>
        </w:tc>
        <w:tc>
          <w:tcPr>
            <w:tcW w:w="2552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top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i/>
                <w:iCs/>
                <w:color w:val="000000"/>
              </w:rPr>
              <w:t xml:space="preserve">                   </w:t>
            </w:r>
          </w:p>
        </w:tc>
        <w:tc>
          <w:tcPr>
            <w:tcW w:w="637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i/>
                <w:iCs/>
                <w:color w:val="000000"/>
              </w:rPr>
              <w:t>Vendéglátás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4</w:t>
            </w:r>
          </w:p>
        </w:tc>
        <w:tc>
          <w:tcPr>
            <w:tcW w:w="3827" w:type="dxa"/>
            <w:tcBorders>
              <w:left w:val="single" w:sz="18" w:space="0" w:color="auto"/>
              <w:right w:val="nil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Kötelező reggeli</w:t>
            </w:r>
          </w:p>
        </w:tc>
        <w:tc>
          <w:tcPr>
            <w:tcW w:w="2552" w:type="dxa"/>
            <w:tcBorders>
              <w:left w:val="nil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5</w:t>
            </w:r>
          </w:p>
        </w:tc>
        <w:tc>
          <w:tcPr>
            <w:tcW w:w="3827" w:type="dxa"/>
            <w:tcBorders>
              <w:left w:val="single" w:sz="18" w:space="0" w:color="auto"/>
              <w:right w:val="nil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Fél/teljes panzió</w:t>
            </w:r>
          </w:p>
        </w:tc>
        <w:tc>
          <w:tcPr>
            <w:tcW w:w="2552" w:type="dxa"/>
            <w:tcBorders>
              <w:left w:val="nil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6</w:t>
            </w:r>
          </w:p>
        </w:tc>
        <w:tc>
          <w:tcPr>
            <w:tcW w:w="3827" w:type="dxa"/>
            <w:tcBorders>
              <w:left w:val="single" w:sz="18" w:space="0" w:color="auto"/>
              <w:right w:val="nil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A’la carte fogyasztás</w:t>
            </w:r>
          </w:p>
        </w:tc>
        <w:tc>
          <w:tcPr>
            <w:tcW w:w="2552" w:type="dxa"/>
            <w:tcBorders>
              <w:left w:val="nil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7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color w:val="000000"/>
              </w:rPr>
            </w:pPr>
            <w:r w:rsidRPr="006D04BA">
              <w:rPr>
                <w:rFonts w:ascii="TimesNewRomanPSMT" w:hAnsi="TimesNewRomanPSMT" w:cs="TimesNewRomanPSMT"/>
                <w:i/>
                <w:iCs/>
                <w:color w:val="000000"/>
              </w:rPr>
              <w:t>Vendéglátás összesen</w:t>
            </w:r>
          </w:p>
        </w:tc>
        <w:tc>
          <w:tcPr>
            <w:tcW w:w="2552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top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637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color w:val="000000"/>
              </w:rPr>
            </w:pPr>
            <w:r w:rsidRPr="006D04BA">
              <w:rPr>
                <w:rFonts w:ascii="TimesNewRomanPSMT" w:hAnsi="TimesNewRomanPSMT" w:cs="TimesNewRomanPSMT"/>
                <w:i/>
                <w:iCs/>
                <w:color w:val="000000"/>
              </w:rPr>
              <w:t>Gyógyászat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8</w:t>
            </w:r>
          </w:p>
        </w:tc>
        <w:tc>
          <w:tcPr>
            <w:tcW w:w="3827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Gyógykezelések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9</w:t>
            </w:r>
          </w:p>
        </w:tc>
        <w:tc>
          <w:tcPr>
            <w:tcW w:w="3827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Wellness kezelések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10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color w:val="000000"/>
              </w:rPr>
            </w:pPr>
            <w:r w:rsidRPr="006D04BA">
              <w:rPr>
                <w:rFonts w:ascii="TimesNewRomanPSMT" w:hAnsi="TimesNewRomanPSMT" w:cs="TimesNewRomanPSMT"/>
                <w:i/>
                <w:iCs/>
                <w:color w:val="000000"/>
              </w:rPr>
              <w:t>Gyógyászat összesen</w:t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top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63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11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color w:val="000000"/>
              </w:rPr>
            </w:pPr>
            <w:r w:rsidRPr="006D04BA">
              <w:rPr>
                <w:rFonts w:ascii="TimesNewRomanPSMT" w:hAnsi="TimesNewRomanPSMT" w:cs="TimesNewRomanPSMT"/>
                <w:i/>
                <w:iCs/>
                <w:color w:val="000000"/>
              </w:rPr>
              <w:t>Egyéb bevételek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12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color w:val="000000"/>
              </w:rPr>
            </w:pPr>
            <w:r w:rsidRPr="006D04BA">
              <w:rPr>
                <w:rFonts w:ascii="TimesNewRomanPSMT" w:hAnsi="TimesNewRomanPSMT" w:cs="TimesNewRomanPSMT"/>
                <w:b/>
                <w:bCs/>
                <w:color w:val="000000"/>
              </w:rPr>
              <w:t>BEVÉTEL ÖSSZESEN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top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637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b/>
                <w:bCs/>
                <w:color w:val="000000"/>
              </w:rPr>
              <w:t>KÖZVETLEN KÖLTSÉGEK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637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i/>
                <w:iCs/>
                <w:color w:val="000000"/>
              </w:rPr>
              <w:t>szállás</w:t>
            </w:r>
          </w:p>
        </w:tc>
        <w:tc>
          <w:tcPr>
            <w:tcW w:w="1525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13</w:t>
            </w:r>
          </w:p>
        </w:tc>
        <w:tc>
          <w:tcPr>
            <w:tcW w:w="3827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közvetlen költségek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14</w:t>
            </w:r>
          </w:p>
        </w:tc>
        <w:tc>
          <w:tcPr>
            <w:tcW w:w="3827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személyi jellegű költségek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15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color w:val="000000"/>
              </w:rPr>
            </w:pPr>
            <w:r w:rsidRPr="006D04BA">
              <w:rPr>
                <w:rFonts w:ascii="TimesNewRomanPSMT" w:hAnsi="TimesNewRomanPSMT" w:cs="TimesNewRomanPSMT"/>
                <w:i/>
                <w:iCs/>
                <w:color w:val="000000"/>
              </w:rPr>
              <w:t>szállás összesen</w:t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637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vendéglátás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top w:val="nil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16</w:t>
            </w:r>
          </w:p>
        </w:tc>
        <w:tc>
          <w:tcPr>
            <w:tcW w:w="3827" w:type="dxa"/>
            <w:tcBorders>
              <w:top w:val="nil"/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ELÁBÉ</w:t>
            </w:r>
          </w:p>
        </w:tc>
        <w:tc>
          <w:tcPr>
            <w:tcW w:w="2552" w:type="dxa"/>
            <w:tcBorders>
              <w:top w:val="nil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17</w:t>
            </w:r>
          </w:p>
        </w:tc>
        <w:tc>
          <w:tcPr>
            <w:tcW w:w="3827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közvetlen költségek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18</w:t>
            </w:r>
          </w:p>
        </w:tc>
        <w:tc>
          <w:tcPr>
            <w:tcW w:w="3827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személyi jellegű költségek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 xml:space="preserve">19 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color w:val="000000"/>
              </w:rPr>
            </w:pPr>
            <w:r w:rsidRPr="006D04BA">
              <w:rPr>
                <w:rFonts w:ascii="TimesNewRomanPSMT" w:hAnsi="TimesNewRomanPSMT" w:cs="TimesNewRomanPSMT"/>
                <w:i/>
                <w:iCs/>
                <w:color w:val="000000"/>
              </w:rPr>
              <w:t>vendéglátás összesen</w:t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top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637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i/>
                <w:iCs/>
                <w:color w:val="000000"/>
              </w:rPr>
              <w:t>gyógyászat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20</w:t>
            </w:r>
          </w:p>
        </w:tc>
        <w:tc>
          <w:tcPr>
            <w:tcW w:w="3827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ELÁBÉ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 xml:space="preserve">21 </w:t>
            </w:r>
          </w:p>
        </w:tc>
        <w:tc>
          <w:tcPr>
            <w:tcW w:w="3827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közvetlen költségek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22</w:t>
            </w:r>
          </w:p>
        </w:tc>
        <w:tc>
          <w:tcPr>
            <w:tcW w:w="3827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személyi jellegű költségek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23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color w:val="000000"/>
              </w:rPr>
            </w:pPr>
            <w:r w:rsidRPr="006D04BA">
              <w:rPr>
                <w:rFonts w:ascii="TimesNewRomanPSMT" w:hAnsi="TimesNewRomanPSMT" w:cs="TimesNewRomanPSMT"/>
                <w:i/>
                <w:iCs/>
                <w:color w:val="000000"/>
              </w:rPr>
              <w:t>gyógyászat összesen</w:t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24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color w:val="000000"/>
              </w:rPr>
            </w:pPr>
            <w:r w:rsidRPr="006D04BA">
              <w:rPr>
                <w:rFonts w:ascii="TimesNewRomanPSMT" w:hAnsi="TimesNewRomanPSMT" w:cs="TimesNewRomanPSMT"/>
                <w:b/>
                <w:bCs/>
                <w:color w:val="000000"/>
              </w:rPr>
              <w:t>KÖZVETLEN KÖLTSÉGEK ÖSSZESEN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b/>
                <w:bCs/>
                <w:color w:val="000000"/>
              </w:rPr>
            </w:pPr>
            <w:r w:rsidRPr="006D04BA">
              <w:rPr>
                <w:rFonts w:ascii="TimesNewRomanPSMT" w:hAnsi="TimesNewRomanPSMT" w:cs="TimesNewRomanPSMT"/>
                <w:b/>
                <w:bCs/>
                <w:color w:val="000000"/>
              </w:rPr>
              <w:t>25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color w:val="000000"/>
              </w:rPr>
            </w:pPr>
            <w:r w:rsidRPr="006D04BA">
              <w:rPr>
                <w:rFonts w:ascii="TimesNewRomanPSMT" w:hAnsi="TimesNewRomanPSMT" w:cs="TimesNewRomanPSMT"/>
                <w:b/>
                <w:bCs/>
                <w:color w:val="000000"/>
              </w:rPr>
              <w:t>FEDEZET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top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637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b/>
                <w:bCs/>
                <w:color w:val="000000"/>
              </w:rPr>
              <w:t>FEL NEM  OSZTHATÓ KÖLTSÉGEK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637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i/>
                <w:iCs/>
                <w:color w:val="000000"/>
              </w:rPr>
              <w:t>igazgatás, adminisztráció</w:t>
            </w:r>
          </w:p>
        </w:tc>
        <w:tc>
          <w:tcPr>
            <w:tcW w:w="1525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26</w:t>
            </w:r>
          </w:p>
        </w:tc>
        <w:tc>
          <w:tcPr>
            <w:tcW w:w="3827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posta, telefon, internet költségei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27</w:t>
            </w:r>
          </w:p>
        </w:tc>
        <w:tc>
          <w:tcPr>
            <w:tcW w:w="3827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nyomtatvány, irodaszer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28</w:t>
            </w:r>
          </w:p>
        </w:tc>
        <w:tc>
          <w:tcPr>
            <w:tcW w:w="3827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könyv, újság, folyóirat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29</w:t>
            </w:r>
          </w:p>
        </w:tc>
        <w:tc>
          <w:tcPr>
            <w:tcW w:w="3827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reprezentáció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30</w:t>
            </w:r>
          </w:p>
        </w:tc>
        <w:tc>
          <w:tcPr>
            <w:tcW w:w="3827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utazás, kiküldetés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31</w:t>
            </w:r>
          </w:p>
        </w:tc>
        <w:tc>
          <w:tcPr>
            <w:tcW w:w="3827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személyi jellegű költségek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32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color w:val="000000"/>
              </w:rPr>
            </w:pPr>
            <w:r w:rsidRPr="006D04BA">
              <w:rPr>
                <w:rFonts w:ascii="TimesNewRomanPSMT" w:hAnsi="TimesNewRomanPSMT" w:cs="TimesNewRomanPSMT"/>
                <w:i/>
                <w:iCs/>
                <w:color w:val="000000"/>
              </w:rPr>
              <w:t>igazgatás, adminisztráció összesen</w:t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top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637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i/>
                <w:iCs/>
                <w:color w:val="000000"/>
              </w:rPr>
              <w:t>marketing, értékesítés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33</w:t>
            </w:r>
          </w:p>
        </w:tc>
        <w:tc>
          <w:tcPr>
            <w:tcW w:w="3827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hirdetés, reklám, propaganda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34</w:t>
            </w:r>
          </w:p>
        </w:tc>
        <w:tc>
          <w:tcPr>
            <w:tcW w:w="3827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személyi jellegű költségek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35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marketing, értékesítés összesen</w:t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color w:val="000000"/>
              </w:rPr>
            </w:pPr>
            <w:r w:rsidRPr="006D04BA">
              <w:rPr>
                <w:rFonts w:ascii="TimesNewRomanPSMT" w:hAnsi="TimesNewRomanPSMT" w:cs="TimesNewRomanPSMT"/>
                <w:i/>
                <w:iCs/>
                <w:color w:val="000000"/>
              </w:rPr>
              <w:t>fenntartás, karbantartás</w:t>
            </w:r>
          </w:p>
        </w:tc>
        <w:tc>
          <w:tcPr>
            <w:tcW w:w="2552" w:type="dxa"/>
            <w:tcBorders>
              <w:top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36</w:t>
            </w:r>
          </w:p>
        </w:tc>
        <w:tc>
          <w:tcPr>
            <w:tcW w:w="3827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anyagköltség (karbantartás, takarítás)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37</w:t>
            </w:r>
          </w:p>
        </w:tc>
        <w:tc>
          <w:tcPr>
            <w:tcW w:w="3827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igénybe vett szolgáltatások (fenntartás, karbantartás)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38</w:t>
            </w:r>
          </w:p>
        </w:tc>
        <w:tc>
          <w:tcPr>
            <w:tcW w:w="3827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személyi jellegű költségek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39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color w:val="000000"/>
              </w:rPr>
            </w:pPr>
            <w:r w:rsidRPr="006D04BA">
              <w:rPr>
                <w:rFonts w:ascii="TimesNewRomanPSMT" w:hAnsi="TimesNewRomanPSMT" w:cs="TimesNewRomanPSMT"/>
                <w:i/>
                <w:iCs/>
                <w:color w:val="000000"/>
              </w:rPr>
              <w:t>fenntartás, karbantartás összesen</w:t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40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color w:val="000000"/>
              </w:rPr>
            </w:pPr>
            <w:r w:rsidRPr="006D04BA">
              <w:rPr>
                <w:rFonts w:ascii="TimesNewRomanPSMT" w:hAnsi="TimesNewRomanPSMT" w:cs="TimesNewRomanPSMT"/>
                <w:i/>
                <w:iCs/>
                <w:color w:val="000000"/>
              </w:rPr>
              <w:t>jutalékok, egyéb díjak összesen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41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color w:val="000000"/>
              </w:rPr>
            </w:pPr>
            <w:r w:rsidRPr="006D04BA">
              <w:rPr>
                <w:rFonts w:ascii="TimesNewRomanPSMT" w:hAnsi="TimesNewRomanPSMT" w:cs="TimesNewRomanPSMT"/>
                <w:i/>
                <w:iCs/>
                <w:color w:val="000000"/>
              </w:rPr>
              <w:t>energia, közüzem költségei összesen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top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b/>
                <w:bCs/>
                <w:color w:val="000000"/>
              </w:rPr>
            </w:pPr>
            <w:r w:rsidRPr="006D04BA">
              <w:rPr>
                <w:rFonts w:ascii="TimesNewRomanPSMT" w:hAnsi="TimesNewRomanPSMT" w:cs="TimesNewRomanPSMT"/>
                <w:b/>
                <w:bCs/>
                <w:color w:val="000000"/>
              </w:rPr>
              <w:t>42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color w:val="000000"/>
              </w:rPr>
            </w:pPr>
            <w:r w:rsidRPr="006D04BA">
              <w:rPr>
                <w:rFonts w:ascii="TimesNewRomanPSMT" w:hAnsi="TimesNewRomanPSMT" w:cs="TimesNewRomanPSMT"/>
                <w:b/>
                <w:bCs/>
                <w:color w:val="000000"/>
              </w:rPr>
              <w:t>FEL NEM OSZTHATÓ KÖLTSÉGEK ÖSSZESEN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b/>
                <w:bCs/>
                <w:color w:val="000000"/>
              </w:rPr>
            </w:pPr>
            <w:r w:rsidRPr="006D04BA">
              <w:rPr>
                <w:rFonts w:ascii="TimesNewRomanPSMT" w:hAnsi="TimesNewRomanPSMT" w:cs="TimesNewRomanPSMT"/>
                <w:b/>
                <w:bCs/>
                <w:color w:val="000000"/>
              </w:rPr>
              <w:t>43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color w:val="000000"/>
              </w:rPr>
            </w:pPr>
            <w:r w:rsidRPr="006D04BA">
              <w:rPr>
                <w:rFonts w:ascii="TimesNewRomanPSMT" w:hAnsi="TimesNewRomanPSMT" w:cs="TimesNewRomanPSMT"/>
                <w:b/>
                <w:bCs/>
                <w:color w:val="000000"/>
              </w:rPr>
              <w:t>BRUTTÓ ÜZEMELÉSI EREDMÉNY (GOP)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63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color w:val="000000"/>
              </w:rPr>
            </w:pPr>
            <w:r w:rsidRPr="006D04BA">
              <w:rPr>
                <w:rFonts w:ascii="TimesNewRomanPSMT" w:hAnsi="TimesNewRomanPSMT" w:cs="TimesNewRomanPSMT"/>
                <w:b/>
                <w:bCs/>
                <w:color w:val="000000"/>
              </w:rPr>
              <w:t>FIX KÖLTSÉGEK</w:t>
            </w:r>
          </w:p>
        </w:tc>
        <w:tc>
          <w:tcPr>
            <w:tcW w:w="1525" w:type="dxa"/>
            <w:tcBorders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top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44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fizetendő adók</w:t>
            </w:r>
          </w:p>
        </w:tc>
        <w:tc>
          <w:tcPr>
            <w:tcW w:w="2552" w:type="dxa"/>
            <w:tcBorders>
              <w:top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45</w:t>
            </w:r>
          </w:p>
        </w:tc>
        <w:tc>
          <w:tcPr>
            <w:tcW w:w="3827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hatósági díjak, illetékek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46</w:t>
            </w:r>
          </w:p>
        </w:tc>
        <w:tc>
          <w:tcPr>
            <w:tcW w:w="3827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biztosítási díjak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47</w:t>
            </w:r>
          </w:p>
        </w:tc>
        <w:tc>
          <w:tcPr>
            <w:tcW w:w="3827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késedelmi kamatok, bírságok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48</w:t>
            </w:r>
          </w:p>
        </w:tc>
        <w:tc>
          <w:tcPr>
            <w:tcW w:w="3827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bérleti díj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49</w:t>
            </w:r>
          </w:p>
        </w:tc>
        <w:tc>
          <w:tcPr>
            <w:tcW w:w="3827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amortizáció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50</w:t>
            </w:r>
          </w:p>
        </w:tc>
        <w:tc>
          <w:tcPr>
            <w:tcW w:w="3827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könyvelési díj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51</w:t>
            </w:r>
          </w:p>
        </w:tc>
        <w:tc>
          <w:tcPr>
            <w:tcW w:w="3827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egyéb kiadások (nem tervezett)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52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color w:val="000000"/>
              </w:rPr>
            </w:pPr>
            <w:r w:rsidRPr="006D04BA">
              <w:rPr>
                <w:rFonts w:ascii="TimesNewRomanPSMT" w:hAnsi="TimesNewRomanPSMT" w:cs="TimesNewRomanPSMT"/>
                <w:b/>
                <w:bCs/>
                <w:color w:val="000000"/>
              </w:rPr>
              <w:t>FIX KÖLTSÉGEK ÖSSZESEN</w:t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b/>
                <w:bCs/>
                <w:color w:val="000000"/>
              </w:rPr>
            </w:pPr>
            <w:r w:rsidRPr="006D04BA">
              <w:rPr>
                <w:rFonts w:ascii="TimesNewRomanPSMT" w:hAnsi="TimesNewRomanPSMT" w:cs="TimesNewRomanPSMT"/>
                <w:b/>
                <w:bCs/>
                <w:color w:val="000000"/>
              </w:rPr>
              <w:t>53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color w:val="000000"/>
              </w:rPr>
            </w:pPr>
            <w:r w:rsidRPr="006D04BA">
              <w:rPr>
                <w:rFonts w:ascii="TimesNewRomanPSMT" w:hAnsi="TimesNewRomanPSMT" w:cs="TimesNewRomanPSMT"/>
                <w:b/>
                <w:bCs/>
                <w:color w:val="000000"/>
              </w:rPr>
              <w:t>NETTÓ ÜZEMELÉSI EREDMÉNY (NOP)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top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637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color w:val="000000"/>
              </w:rPr>
            </w:pPr>
            <w:r w:rsidRPr="006D04BA">
              <w:rPr>
                <w:rFonts w:ascii="TimesNewRomanPSMT" w:hAnsi="TimesNewRomanPSMT" w:cs="TimesNewRomanPSMT"/>
                <w:i/>
                <w:iCs/>
                <w:color w:val="000000"/>
              </w:rPr>
              <w:t>pénzügyi és rendkívüli műveletek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54</w:t>
            </w:r>
          </w:p>
        </w:tc>
        <w:tc>
          <w:tcPr>
            <w:tcW w:w="3827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pénzügyi és rendkívüli bevételek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55</w:t>
            </w:r>
          </w:p>
        </w:tc>
        <w:tc>
          <w:tcPr>
            <w:tcW w:w="3827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pénzügyi és rendkívüli ráfordítások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56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color w:val="000000"/>
              </w:rPr>
            </w:pPr>
            <w:r w:rsidRPr="006D04BA">
              <w:rPr>
                <w:rFonts w:ascii="TimesNewRomanPSMT" w:hAnsi="TimesNewRomanPSMT" w:cs="TimesNewRomanPSMT"/>
                <w:i/>
                <w:iCs/>
                <w:color w:val="000000"/>
              </w:rPr>
              <w:t>pénzügyi és rendkívüli műveletek eredménye</w:t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b/>
                <w:bCs/>
                <w:color w:val="000000"/>
              </w:rPr>
            </w:pPr>
            <w:r w:rsidRPr="006D04BA">
              <w:rPr>
                <w:rFonts w:ascii="TimesNewRomanPSMT" w:hAnsi="TimesNewRomanPSMT" w:cs="TimesNewRomanPSMT"/>
                <w:b/>
                <w:bCs/>
                <w:color w:val="000000"/>
              </w:rPr>
              <w:t>57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color w:val="000000"/>
              </w:rPr>
            </w:pPr>
            <w:r w:rsidRPr="006D04BA">
              <w:rPr>
                <w:rFonts w:ascii="TimesNewRomanPSMT" w:hAnsi="TimesNewRomanPSMT" w:cs="TimesNewRomanPSMT"/>
                <w:b/>
                <w:bCs/>
                <w:color w:val="000000"/>
              </w:rPr>
              <w:t>ADÓZÁS ELŐTTI EREDMÉNY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b/>
                <w:bCs/>
                <w:color w:val="000000"/>
              </w:rPr>
            </w:pPr>
            <w:r w:rsidRPr="006D04BA">
              <w:rPr>
                <w:rFonts w:ascii="TimesNewRomanPSMT" w:hAnsi="TimesNewRomanPSMT" w:cs="TimesNewRomanPSMT"/>
                <w:b/>
                <w:bCs/>
                <w:color w:val="000000"/>
              </w:rPr>
              <w:t>58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color w:val="000000"/>
              </w:rPr>
            </w:pPr>
            <w:r w:rsidRPr="006D04BA">
              <w:rPr>
                <w:rFonts w:ascii="TimesNewRomanPSMT" w:hAnsi="TimesNewRomanPSMT" w:cs="TimesNewRomanPSMT"/>
                <w:b/>
                <w:bCs/>
                <w:color w:val="000000"/>
              </w:rPr>
              <w:t>TÁRSASÁGI ADÓ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b/>
                <w:bCs/>
                <w:color w:val="000000"/>
              </w:rPr>
            </w:pPr>
            <w:r w:rsidRPr="006D04BA">
              <w:rPr>
                <w:rFonts w:ascii="TimesNewRomanPSMT" w:hAnsi="TimesNewRomanPSMT" w:cs="TimesNewRomanPSMT"/>
                <w:b/>
                <w:bCs/>
                <w:color w:val="000000"/>
              </w:rPr>
              <w:t>59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color w:val="000000"/>
              </w:rPr>
            </w:pPr>
            <w:r w:rsidRPr="006D04BA">
              <w:rPr>
                <w:rFonts w:ascii="TimesNewRomanPSMT" w:hAnsi="TimesNewRomanPSMT" w:cs="TimesNewRomanPSMT"/>
                <w:b/>
                <w:bCs/>
                <w:color w:val="000000"/>
              </w:rPr>
              <w:t>CASH FLOW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b/>
                <w:bCs/>
                <w:color w:val="000000"/>
              </w:rPr>
            </w:pPr>
            <w:r w:rsidRPr="006D04BA">
              <w:rPr>
                <w:rFonts w:ascii="TimesNewRomanPSMT" w:hAnsi="TimesNewRomanPSMT" w:cs="TimesNewRomanPSMT"/>
                <w:b/>
                <w:bCs/>
                <w:color w:val="000000"/>
              </w:rPr>
              <w:t>60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color w:val="000000"/>
              </w:rPr>
            </w:pPr>
            <w:r w:rsidRPr="006D04BA">
              <w:rPr>
                <w:rFonts w:ascii="TimesNewRomanPSMT" w:hAnsi="TimesNewRomanPSMT" w:cs="TimesNewRomanPSMT"/>
                <w:b/>
                <w:bCs/>
                <w:color w:val="000000"/>
              </w:rPr>
              <w:t>KUMULÁLT CASH FLOW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63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top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61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hónapok száma</w:t>
            </w:r>
          </w:p>
        </w:tc>
        <w:tc>
          <w:tcPr>
            <w:tcW w:w="2552" w:type="dxa"/>
            <w:tcBorders>
              <w:top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62</w:t>
            </w:r>
          </w:p>
        </w:tc>
        <w:tc>
          <w:tcPr>
            <w:tcW w:w="3827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napok száma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63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szobaszám</w:t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top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637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i/>
                <w:iCs/>
                <w:color w:val="000000"/>
              </w:rPr>
              <w:t>szobaéjszakák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64</w:t>
            </w:r>
          </w:p>
        </w:tc>
        <w:tc>
          <w:tcPr>
            <w:tcW w:w="3827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elérhető szobaéj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65</w:t>
            </w:r>
          </w:p>
        </w:tc>
        <w:tc>
          <w:tcPr>
            <w:tcW w:w="3827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</w:rPr>
            </w:pPr>
            <w:r w:rsidRPr="006D04BA">
              <w:rPr>
                <w:rFonts w:ascii="TimesNewRomanPSMT" w:hAnsi="TimesNewRomanPSMT" w:cs="TimesNewRomanPSMT"/>
                <w:color w:val="000000"/>
              </w:rPr>
              <w:t>kiadott szoba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66DA0" w:rsidRPr="006D04BA">
        <w:tc>
          <w:tcPr>
            <w:tcW w:w="1253" w:type="dxa"/>
            <w:tcBorders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b/>
                <w:bCs/>
                <w:color w:val="000000"/>
              </w:rPr>
            </w:pPr>
            <w:r w:rsidRPr="006D04BA">
              <w:rPr>
                <w:rFonts w:ascii="TimesNewRomanPSMT" w:hAnsi="TimesNewRomanPSMT" w:cs="TimesNewRomanPSMT"/>
                <w:b/>
                <w:bCs/>
                <w:color w:val="000000"/>
              </w:rPr>
              <w:t>66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color w:val="000000"/>
              </w:rPr>
            </w:pPr>
            <w:r w:rsidRPr="006D04BA">
              <w:rPr>
                <w:rFonts w:ascii="TimesNewRomanPSMT" w:hAnsi="TimesNewRomanPSMT" w:cs="TimesNewRomanPSMT"/>
                <w:b/>
                <w:bCs/>
                <w:color w:val="000000"/>
              </w:rPr>
              <w:t>kihasználtság (%-szobaéj)</w:t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25" w:type="dxa"/>
            <w:tcBorders>
              <w:left w:val="single" w:sz="18" w:space="0" w:color="auto"/>
              <w:bottom w:val="single" w:sz="18" w:space="0" w:color="auto"/>
            </w:tcBorders>
          </w:tcPr>
          <w:p w:rsidR="00066DA0" w:rsidRPr="006D04BA" w:rsidRDefault="00066DA0" w:rsidP="006D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67 egy szobára jutó szállásbevétel 3 000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68 egy szobára jutó egyéb bevétel 1 200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69 egy szobára jutó reggeli bev. 4 000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70 egy szobára jutó félpanzió bev. 5 000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71 félpanzió kihasználtság 90%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72 egy szobára jutó a' la carte bev. 2 500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73 kiadható helységek száma 4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74 bérleti díj (Ft/hó) 10 000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75 gyógykezelésszám (db/hó) 3 700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76 1 gyógykezelésre jutó átlagbevétel (Ft/db) 690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77 wellness kezelésszám (db/hó) 250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78 1 wellness kezelésre jutó átlagbevétel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(Ft/db)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2 000</w:t>
      </w:r>
    </w:p>
    <w:p w:rsidR="00066DA0" w:rsidRPr="00D11367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Eredménykimutatás számításainak magyarázata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 a szobakiadás nagyságát az egy szobára jutó szállásbevétel és a kiadott szobaéj szorzata adja (65*67). Az évi áremelkedés mértékét a 82. sor tartalmazza. A 72. sor értékei a KSH adatai alapján, a versenytársak átlagos szobaárait figyelmbe véve lettek kalkulálva.</w:t>
      </w:r>
    </w:p>
    <w:p w:rsidR="00066DA0" w:rsidRDefault="00066DA0" w:rsidP="00D11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</w:t>
      </w:r>
      <w:r w:rsidRPr="00D113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11367">
        <w:rPr>
          <w:rFonts w:ascii="TimesNewRomanPSMT" w:hAnsi="TimesNewRomanPSMT" w:cs="TimesNewRomanPSMT"/>
          <w:sz w:val="24"/>
          <w:szCs w:val="24"/>
        </w:rPr>
        <w:t>a szállás egyéb bevételek tartalmazzák a ter</w:t>
      </w:r>
      <w:r>
        <w:rPr>
          <w:rFonts w:ascii="TimesNewRomanPSMT" w:hAnsi="TimesNewRomanPSMT" w:cs="TimesNewRomanPSMT"/>
          <w:sz w:val="24"/>
          <w:szCs w:val="24"/>
        </w:rPr>
        <w:t>e</w:t>
      </w:r>
      <w:r w:rsidRPr="00D11367">
        <w:rPr>
          <w:rFonts w:ascii="TimesNewRomanPSMT" w:hAnsi="TimesNewRomanPSMT" w:cs="TimesNewRomanPSMT"/>
          <w:sz w:val="24"/>
          <w:szCs w:val="24"/>
        </w:rPr>
        <w:t>mbérlet, Wi-Fi haszná</w:t>
      </w:r>
      <w:r>
        <w:rPr>
          <w:rFonts w:ascii="TimesNewRomanPSMT" w:hAnsi="TimesNewRomanPSMT" w:cs="TimesNewRomanPSMT"/>
          <w:sz w:val="24"/>
          <w:szCs w:val="24"/>
        </w:rPr>
        <w:t>lat, t</w:t>
      </w:r>
      <w:r w:rsidRPr="00D11367">
        <w:rPr>
          <w:rFonts w:ascii="TimesNewRomanPSMT" w:hAnsi="TimesNewRomanPSMT" w:cs="TimesNewRomanPSMT"/>
          <w:sz w:val="24"/>
          <w:szCs w:val="24"/>
        </w:rPr>
        <w:t>elefon, stb. díját. Kiszámításának módja: 67*73. sor érté</w:t>
      </w:r>
      <w:r>
        <w:rPr>
          <w:rFonts w:ascii="TimesNewRomanPSMT" w:hAnsi="TimesNewRomanPSMT" w:cs="TimesNewRomanPSMT"/>
          <w:sz w:val="24"/>
          <w:szCs w:val="24"/>
        </w:rPr>
        <w:t xml:space="preserve">kei. A 73. sorban </w:t>
      </w:r>
      <w:r w:rsidRPr="00D11367">
        <w:rPr>
          <w:rFonts w:ascii="TimesNewRomanPSMT" w:hAnsi="TimesNewRomanPSMT" w:cs="TimesNewRomanPSMT"/>
          <w:sz w:val="24"/>
          <w:szCs w:val="24"/>
        </w:rPr>
        <w:t>található értékek tapasztalati adatokból származnak.</w:t>
      </w:r>
    </w:p>
    <w:p w:rsidR="00066DA0" w:rsidRPr="00D11367" w:rsidRDefault="00066DA0" w:rsidP="00D11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D11367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3 </w:t>
      </w:r>
      <w:r w:rsidRPr="00D11367">
        <w:rPr>
          <w:rFonts w:ascii="TimesNewRomanPS-ItalicMT" w:hAnsi="TimesNewRomanPS-ItalicMT" w:cs="TimesNewRomanPS-ItalicMT"/>
          <w:i/>
          <w:iCs/>
          <w:sz w:val="24"/>
          <w:szCs w:val="24"/>
        </w:rPr>
        <w:t>1. és 2. sor összege.</w:t>
      </w:r>
    </w:p>
    <w:p w:rsidR="00066DA0" w:rsidRPr="00D11367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066DA0" w:rsidRDefault="00066DA0" w:rsidP="00D11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11367">
        <w:rPr>
          <w:rFonts w:ascii="TimesNewRomanPSMT" w:hAnsi="TimesNewRomanPSMT" w:cs="TimesNewRomanPSMT"/>
          <w:color w:val="000000"/>
          <w:sz w:val="24"/>
          <w:szCs w:val="24"/>
        </w:rPr>
        <w:t>4</w:t>
      </w:r>
      <w:r w:rsidRPr="00D11367">
        <w:rPr>
          <w:rFonts w:ascii="TimesNewRomanPSMT" w:hAnsi="TimesNewRomanPSMT" w:cs="TimesNewRomanPSMT"/>
          <w:sz w:val="24"/>
          <w:szCs w:val="24"/>
        </w:rPr>
        <w:t xml:space="preserve"> 65. és 69. sorok szorzata. A reggeli egy szobára jutó átlagá</w:t>
      </w:r>
      <w:r>
        <w:rPr>
          <w:rFonts w:ascii="TimesNewRomanPSMT" w:hAnsi="TimesNewRomanPSMT" w:cs="TimesNewRomanPSMT"/>
          <w:sz w:val="24"/>
          <w:szCs w:val="24"/>
        </w:rPr>
        <w:t xml:space="preserve">ra tapasztalati </w:t>
      </w:r>
      <w:r w:rsidRPr="00D11367">
        <w:rPr>
          <w:rFonts w:ascii="TimesNewRomanPSMT" w:hAnsi="TimesNewRomanPSMT" w:cs="TimesNewRomanPSMT"/>
          <w:sz w:val="24"/>
          <w:szCs w:val="24"/>
        </w:rPr>
        <w:t>adatok alapján került kiszámításra.</w:t>
      </w:r>
    </w:p>
    <w:p w:rsidR="00066DA0" w:rsidRPr="00D11367" w:rsidRDefault="00066DA0" w:rsidP="00D11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66DA0" w:rsidRDefault="00066DA0" w:rsidP="00D113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r w:rsidRPr="00D11367">
        <w:rPr>
          <w:rFonts w:ascii="TimesNewRomanPSMT" w:hAnsi="TimesNewRomanPSMT" w:cs="TimesNewRomanPSMT"/>
          <w:sz w:val="20"/>
          <w:szCs w:val="20"/>
        </w:rPr>
        <w:t xml:space="preserve"> </w:t>
      </w:r>
      <w:r w:rsidRPr="00D11367">
        <w:rPr>
          <w:rFonts w:ascii="TimesNewRomanPSMT" w:hAnsi="TimesNewRomanPSMT" w:cs="TimesNewRomanPSMT"/>
          <w:color w:val="000000"/>
          <w:sz w:val="24"/>
          <w:szCs w:val="24"/>
        </w:rPr>
        <w:t>65. és 70. és 71. sorok szorzata. A félpanz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ió egy szobára jutó átlagára és </w:t>
      </w:r>
      <w:r w:rsidRPr="00D11367">
        <w:rPr>
          <w:rFonts w:ascii="TimesNewRomanPSMT" w:hAnsi="TimesNewRomanPSMT" w:cs="TimesNewRomanPSMT"/>
          <w:color w:val="000000"/>
          <w:sz w:val="24"/>
          <w:szCs w:val="24"/>
        </w:rPr>
        <w:t>kihasználtsága tapasztalati adatok alapján került kiszámításra.</w:t>
      </w:r>
    </w:p>
    <w:p w:rsidR="00066DA0" w:rsidRDefault="00066DA0" w:rsidP="00D113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</w:t>
      </w:r>
      <w:r w:rsidRPr="00D11367">
        <w:rPr>
          <w:rFonts w:ascii="TimesNewRomanPSMT" w:hAnsi="TimesNewRomanPSMT" w:cs="TimesNewRomanPSMT"/>
          <w:sz w:val="20"/>
          <w:szCs w:val="20"/>
        </w:rPr>
        <w:t xml:space="preserve"> </w:t>
      </w:r>
      <w:r w:rsidRPr="00D11367">
        <w:rPr>
          <w:rFonts w:ascii="TimesNewRomanPSMT" w:hAnsi="TimesNewRomanPSMT" w:cs="TimesNewRomanPSMT"/>
          <w:color w:val="000000"/>
          <w:sz w:val="24"/>
          <w:szCs w:val="24"/>
        </w:rPr>
        <w:t>65*72. sor. A külsős a' la carte bevétel is egy szobára lett levetítve.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7 </w:t>
      </w:r>
      <w:r w:rsidRPr="00D11367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4+5+6. sorok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066DA0" w:rsidRPr="00D11367" w:rsidRDefault="00066DA0" w:rsidP="00D113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8 </w:t>
      </w:r>
      <w:r w:rsidRPr="00D11367">
        <w:rPr>
          <w:rFonts w:ascii="TimesNewRomanPSMT" w:hAnsi="TimesNewRomanPSMT" w:cs="TimesNewRomanPSMT"/>
          <w:color w:val="000000"/>
          <w:sz w:val="24"/>
          <w:szCs w:val="24"/>
        </w:rPr>
        <w:t>61*75*76. sor. A gyógykezelések korábbi 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datok alapján lettek kalkulálva </w:t>
      </w:r>
      <w:r w:rsidRPr="00D11367">
        <w:rPr>
          <w:rFonts w:ascii="TimesNewRomanPSMT" w:hAnsi="TimesNewRomanPSMT" w:cs="TimesNewRomanPSMT"/>
          <w:color w:val="000000"/>
          <w:sz w:val="24"/>
          <w:szCs w:val="24"/>
        </w:rPr>
        <w:t>mind a kezelésszám, mind pedig a kezelés átlagára tekintetében. Itt a 2012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11367">
        <w:rPr>
          <w:rFonts w:ascii="TimesNewRomanPSMT" w:hAnsi="TimesNewRomanPSMT" w:cs="TimesNewRomanPSMT"/>
          <w:color w:val="000000"/>
          <w:sz w:val="24"/>
          <w:szCs w:val="24"/>
        </w:rPr>
        <w:t>utáni kezelés átlagárak azért nincsenek áremeléssel korrigálva, mert az</w:t>
      </w:r>
    </w:p>
    <w:p w:rsidR="00066DA0" w:rsidRDefault="00066DA0" w:rsidP="00D113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11367">
        <w:rPr>
          <w:rFonts w:ascii="TimesNewRomanPSMT" w:hAnsi="TimesNewRomanPSMT" w:cs="TimesNewRomanPSMT"/>
          <w:color w:val="000000"/>
          <w:sz w:val="24"/>
          <w:szCs w:val="24"/>
        </w:rPr>
        <w:t>OEP árai kötöttek (körzeti minősítésű a Hotel Gara gyógyászati egysége).</w:t>
      </w:r>
    </w:p>
    <w:p w:rsidR="00066DA0" w:rsidRDefault="00066DA0" w:rsidP="00D113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9 </w:t>
      </w:r>
      <w:r w:rsidRPr="00D11367">
        <w:rPr>
          <w:rFonts w:ascii="TimesNewRomanPSMT" w:hAnsi="TimesNewRomanPSMT" w:cs="TimesNewRomanPSMT"/>
          <w:color w:val="000000"/>
          <w:sz w:val="24"/>
          <w:szCs w:val="24"/>
        </w:rPr>
        <w:t>61*77*78. sor. A kezelések átlagára korábbi adatokból számított.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10</w:t>
      </w:r>
      <w:r w:rsidRPr="00D11367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Pr="00D11367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8+9. sor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11 </w:t>
      </w:r>
      <w:r w:rsidRPr="00D11367">
        <w:rPr>
          <w:rFonts w:ascii="TimesNewRomanPSMT" w:hAnsi="TimesNewRomanPSMT" w:cs="TimesNewRomanPSMT"/>
          <w:color w:val="000000"/>
          <w:sz w:val="24"/>
          <w:szCs w:val="24"/>
        </w:rPr>
        <w:t>A szálloda földszinti helységeinek bérleti díja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12 </w:t>
      </w:r>
      <w:r w:rsidRPr="00D1136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3+7+10+11. sor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13 </w:t>
      </w:r>
      <w:r w:rsidRPr="00D11367">
        <w:rPr>
          <w:rFonts w:ascii="TimesNewRomanPSMT" w:hAnsi="TimesNewRomanPSMT" w:cs="TimesNewRomanPSMT"/>
          <w:color w:val="000000"/>
          <w:sz w:val="24"/>
          <w:szCs w:val="24"/>
        </w:rPr>
        <w:t>teljes szállásbevétel 2%-a (korábbi adatok alapján).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66DA0" w:rsidRDefault="00066DA0" w:rsidP="00D113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14 </w:t>
      </w:r>
      <w:r w:rsidRPr="00D11367">
        <w:rPr>
          <w:rFonts w:ascii="TimesNewRomanPSMT" w:hAnsi="TimesNewRomanPSMT" w:cs="TimesNewRomanPSMT"/>
          <w:color w:val="000000"/>
          <w:sz w:val="24"/>
          <w:szCs w:val="24"/>
        </w:rPr>
        <w:t>"Hotel Gara létszámadatok 2012"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segédtábla szállásra vonatkozó </w:t>
      </w:r>
      <w:r w:rsidRPr="00D11367">
        <w:rPr>
          <w:rFonts w:ascii="TimesNewRomanPSMT" w:hAnsi="TimesNewRomanPSMT" w:cs="TimesNewRomanPSMT"/>
          <w:color w:val="000000"/>
          <w:sz w:val="24"/>
          <w:szCs w:val="24"/>
        </w:rPr>
        <w:t>létszámadatai jövedelemmel szorozva. A sor tartalmazza a bér- és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11367">
        <w:rPr>
          <w:rFonts w:ascii="TimesNewRomanPSMT" w:hAnsi="TimesNewRomanPSMT" w:cs="TimesNewRomanPSMT"/>
          <w:color w:val="000000"/>
          <w:sz w:val="24"/>
          <w:szCs w:val="24"/>
        </w:rPr>
        <w:t>járulékadatokon kívül a munkaruha és orvosi vizsgálat költségeit is.</w:t>
      </w:r>
    </w:p>
    <w:p w:rsidR="00066DA0" w:rsidRDefault="00066DA0" w:rsidP="00D113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15</w:t>
      </w:r>
      <w:r w:rsidRPr="00D11367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Pr="00D11367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13+14. sor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16 </w:t>
      </w:r>
      <w:r w:rsidRPr="00D11367">
        <w:rPr>
          <w:rFonts w:ascii="TimesNewRomanPSMT" w:hAnsi="TimesNewRomanPSMT" w:cs="TimesNewRomanPSMT"/>
          <w:color w:val="000000"/>
          <w:sz w:val="24"/>
          <w:szCs w:val="24"/>
        </w:rPr>
        <w:t>a vendéglátás bevételének 40%-a (korábbi adatok alapján)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17</w:t>
      </w:r>
      <w:r w:rsidRPr="00D11367">
        <w:rPr>
          <w:rFonts w:ascii="TimesNewRomanPSMT" w:hAnsi="TimesNewRomanPSMT" w:cs="TimesNewRomanPSMT"/>
          <w:sz w:val="20"/>
          <w:szCs w:val="20"/>
        </w:rPr>
        <w:t xml:space="preserve"> </w:t>
      </w:r>
      <w:r w:rsidRPr="00D11367">
        <w:rPr>
          <w:rFonts w:ascii="TimesNewRomanPSMT" w:hAnsi="TimesNewRomanPSMT" w:cs="TimesNewRomanPSMT"/>
          <w:color w:val="000000"/>
          <w:sz w:val="24"/>
          <w:szCs w:val="24"/>
        </w:rPr>
        <w:t>a vendéglátás bevételének 2%-a (korábbi adatok alapján)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66DA0" w:rsidRDefault="00066DA0" w:rsidP="00D113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18 </w:t>
      </w:r>
      <w:r w:rsidRPr="00D11367">
        <w:rPr>
          <w:rFonts w:ascii="TimesNewRomanPSMT" w:hAnsi="TimesNewRomanPSMT" w:cs="TimesNewRomanPSMT"/>
          <w:color w:val="000000"/>
          <w:sz w:val="24"/>
          <w:szCs w:val="24"/>
        </w:rPr>
        <w:t>"Hotel Gara létszámadatok 2012" seg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édtábla vendéglátásra vonatkozó </w:t>
      </w:r>
      <w:r w:rsidRPr="00D11367">
        <w:rPr>
          <w:rFonts w:ascii="TimesNewRomanPSMT" w:hAnsi="TimesNewRomanPSMT" w:cs="TimesNewRomanPSMT"/>
          <w:color w:val="000000"/>
          <w:sz w:val="24"/>
          <w:szCs w:val="24"/>
        </w:rPr>
        <w:t>létszámadatai jövedelemmel szorozva. A sor tartalmazza a bér- és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11367">
        <w:rPr>
          <w:rFonts w:ascii="TimesNewRomanPSMT" w:hAnsi="TimesNewRomanPSMT" w:cs="TimesNewRomanPSMT"/>
          <w:color w:val="000000"/>
          <w:sz w:val="24"/>
          <w:szCs w:val="24"/>
        </w:rPr>
        <w:t>járulékadatokon kívül a munkaruha és orvosi vizsgálat költségeit is.</w:t>
      </w:r>
    </w:p>
    <w:p w:rsidR="00066DA0" w:rsidRDefault="00066DA0" w:rsidP="00D113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19 </w:t>
      </w:r>
      <w:r w:rsidRPr="00D11367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16+17+18. sor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20 </w:t>
      </w:r>
      <w:r w:rsidRPr="00D11367">
        <w:rPr>
          <w:rFonts w:ascii="TimesNewRomanPSMT" w:hAnsi="TimesNewRomanPSMT" w:cs="TimesNewRomanPSMT"/>
          <w:color w:val="000000"/>
          <w:sz w:val="24"/>
          <w:szCs w:val="24"/>
        </w:rPr>
        <w:t>gyógyászati bevétel 4%-a (tapasztalati adat)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21</w:t>
      </w:r>
      <w:r w:rsidRPr="00D11367">
        <w:rPr>
          <w:rFonts w:ascii="TimesNewRomanPSMT" w:hAnsi="TimesNewRomanPSMT" w:cs="TimesNewRomanPSMT"/>
          <w:sz w:val="20"/>
          <w:szCs w:val="20"/>
        </w:rPr>
        <w:t xml:space="preserve"> </w:t>
      </w:r>
      <w:r w:rsidRPr="00D11367">
        <w:rPr>
          <w:rFonts w:ascii="TimesNewRomanPSMT" w:hAnsi="TimesNewRomanPSMT" w:cs="TimesNewRomanPSMT"/>
          <w:color w:val="000000"/>
          <w:sz w:val="24"/>
          <w:szCs w:val="24"/>
        </w:rPr>
        <w:t>gyógyászati bevétel 5%-a (tapasztalati adat)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66DA0" w:rsidRDefault="00066DA0" w:rsidP="006F67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22 </w:t>
      </w:r>
      <w:r w:rsidRPr="006F67C5">
        <w:rPr>
          <w:rFonts w:ascii="TimesNewRomanPSMT" w:hAnsi="TimesNewRomanPSMT" w:cs="TimesNewRomanPSMT"/>
          <w:color w:val="000000"/>
          <w:sz w:val="24"/>
          <w:szCs w:val="24"/>
        </w:rPr>
        <w:t>"Hotel Gara létszámadatok 2012" se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gédtábla gyógyászatra vonatkozó </w:t>
      </w:r>
      <w:r w:rsidRPr="006F67C5">
        <w:rPr>
          <w:rFonts w:ascii="TimesNewRomanPSMT" w:hAnsi="TimesNewRomanPSMT" w:cs="TimesNewRomanPSMT"/>
          <w:color w:val="000000"/>
          <w:sz w:val="24"/>
          <w:szCs w:val="24"/>
        </w:rPr>
        <w:t>létszámadatai jövedelemmel szorozva. A sor tartalmazza a bér- és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j</w:t>
      </w:r>
      <w:r w:rsidRPr="006F67C5">
        <w:rPr>
          <w:rFonts w:ascii="TimesNewRomanPSMT" w:hAnsi="TimesNewRomanPSMT" w:cs="TimesNewRomanPSMT"/>
          <w:color w:val="000000"/>
          <w:sz w:val="24"/>
          <w:szCs w:val="24"/>
        </w:rPr>
        <w:t>árulékadatokon kívül a munkaruha és orvosi vizsgálat költségeit is.</w:t>
      </w:r>
    </w:p>
    <w:p w:rsidR="00066DA0" w:rsidRDefault="00066DA0" w:rsidP="006F67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23 </w:t>
      </w:r>
      <w:r w:rsidRPr="006F67C5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20+21+22. sor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24 </w:t>
      </w:r>
      <w:r w:rsidRPr="006F67C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15+19+23. sor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25 </w:t>
      </w:r>
      <w:r w:rsidRPr="006F67C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12-24. sor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26 </w:t>
      </w:r>
      <w:r w:rsidRPr="006F67C5">
        <w:rPr>
          <w:rFonts w:ascii="TimesNewRomanPSMT" w:hAnsi="TimesNewRomanPSMT" w:cs="TimesNewRomanPSMT"/>
          <w:color w:val="000000"/>
          <w:sz w:val="24"/>
          <w:szCs w:val="24"/>
        </w:rPr>
        <w:t>teljes bevétel 0,6%-a (tapasztalati adat)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27</w:t>
      </w:r>
      <w:r w:rsidRPr="006F67C5">
        <w:rPr>
          <w:rFonts w:ascii="TimesNewRomanPSMT" w:hAnsi="TimesNewRomanPSMT" w:cs="TimesNewRomanPSMT"/>
          <w:sz w:val="20"/>
          <w:szCs w:val="20"/>
        </w:rPr>
        <w:t xml:space="preserve"> </w:t>
      </w:r>
      <w:r w:rsidRPr="006F67C5">
        <w:rPr>
          <w:rFonts w:ascii="TimesNewRomanPSMT" w:hAnsi="TimesNewRomanPSMT" w:cs="TimesNewRomanPSMT"/>
          <w:color w:val="000000"/>
          <w:sz w:val="24"/>
          <w:szCs w:val="24"/>
        </w:rPr>
        <w:t>teljes bevétel 0,5%-a (tapasztalati adat)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28 </w:t>
      </w:r>
      <w:r w:rsidRPr="006F67C5">
        <w:rPr>
          <w:rFonts w:ascii="TimesNewRomanPSMT" w:hAnsi="TimesNewRomanPSMT" w:cs="TimesNewRomanPSMT"/>
          <w:color w:val="000000"/>
          <w:sz w:val="24"/>
          <w:szCs w:val="24"/>
        </w:rPr>
        <w:t>teljes bevétel 0,05%-a (tapasztalati adat)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29 </w:t>
      </w:r>
      <w:r w:rsidRPr="006F67C5">
        <w:rPr>
          <w:rFonts w:ascii="TimesNewRomanPSMT" w:hAnsi="TimesNewRomanPSMT" w:cs="TimesNewRomanPSMT"/>
          <w:color w:val="000000"/>
          <w:sz w:val="24"/>
          <w:szCs w:val="24"/>
        </w:rPr>
        <w:t>teljes bevétel 0,2%-a (tapasztalati adat)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30 </w:t>
      </w:r>
      <w:r w:rsidRPr="006F67C5">
        <w:rPr>
          <w:rFonts w:ascii="TimesNewRomanPSMT" w:hAnsi="TimesNewRomanPSMT" w:cs="TimesNewRomanPSMT"/>
          <w:color w:val="000000"/>
          <w:sz w:val="24"/>
          <w:szCs w:val="24"/>
        </w:rPr>
        <w:t>teljes bevétel 0,5%-a (tapasztalati adat)</w:t>
      </w:r>
    </w:p>
    <w:p w:rsidR="00066DA0" w:rsidRDefault="00066DA0" w:rsidP="006F67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66DA0" w:rsidRDefault="00066DA0" w:rsidP="006F67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31 </w:t>
      </w:r>
      <w:r w:rsidRPr="006F67C5">
        <w:rPr>
          <w:rFonts w:ascii="TimesNewRomanPSMT" w:hAnsi="TimesNewRomanPSMT" w:cs="TimesNewRomanPSMT"/>
          <w:color w:val="000000"/>
          <w:sz w:val="24"/>
          <w:szCs w:val="24"/>
        </w:rPr>
        <w:t>"Hotel Gara létszámadatok 2012" segédtá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bla igazgatás, adminisztrációra </w:t>
      </w:r>
      <w:r w:rsidRPr="006F67C5">
        <w:rPr>
          <w:rFonts w:ascii="TimesNewRomanPSMT" w:hAnsi="TimesNewRomanPSMT" w:cs="TimesNewRomanPSMT"/>
          <w:color w:val="000000"/>
          <w:sz w:val="24"/>
          <w:szCs w:val="24"/>
        </w:rPr>
        <w:t>vonatkozó létszámadatai jövedelemmel szorozva. A sor tartalmazza a bér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F67C5">
        <w:rPr>
          <w:rFonts w:ascii="TimesNewRomanPSMT" w:hAnsi="TimesNewRomanPSMT" w:cs="TimesNewRomanPSMT"/>
          <w:color w:val="000000"/>
          <w:sz w:val="24"/>
          <w:szCs w:val="24"/>
        </w:rPr>
        <w:t>és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F67C5">
        <w:rPr>
          <w:rFonts w:ascii="TimesNewRomanPSMT" w:hAnsi="TimesNewRomanPSMT" w:cs="TimesNewRomanPSMT"/>
          <w:color w:val="000000"/>
          <w:sz w:val="24"/>
          <w:szCs w:val="24"/>
        </w:rPr>
        <w:t>járulékadatokon kívül a munkaruha és orvosi vizsgálat költségeit is.</w:t>
      </w:r>
    </w:p>
    <w:p w:rsidR="00066DA0" w:rsidRDefault="00066DA0" w:rsidP="006F67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32</w:t>
      </w:r>
      <w:r w:rsidRPr="006F67C5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Pr="006F67C5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26+27+28+29+30+31. sor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33 </w:t>
      </w:r>
      <w:r w:rsidRPr="006F67C5">
        <w:rPr>
          <w:rFonts w:ascii="TimesNewRomanPSMT" w:hAnsi="TimesNewRomanPSMT" w:cs="TimesNewRomanPSMT"/>
          <w:color w:val="000000"/>
          <w:sz w:val="24"/>
          <w:szCs w:val="24"/>
        </w:rPr>
        <w:t>teljes árbevétel 4%-a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66DA0" w:rsidRDefault="00066DA0" w:rsidP="006F67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34 </w:t>
      </w:r>
      <w:r w:rsidRPr="006F67C5">
        <w:rPr>
          <w:rFonts w:ascii="TimesNewRomanPSMT" w:hAnsi="TimesNewRomanPSMT" w:cs="TimesNewRomanPSMT"/>
          <w:color w:val="000000"/>
          <w:sz w:val="24"/>
          <w:szCs w:val="24"/>
        </w:rPr>
        <w:t>"Hotel Gara létszámadatok 2012" segé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dtábla marketing, értékesítésre </w:t>
      </w:r>
      <w:r w:rsidRPr="006F67C5">
        <w:rPr>
          <w:rFonts w:ascii="TimesNewRomanPSMT" w:hAnsi="TimesNewRomanPSMT" w:cs="TimesNewRomanPSMT"/>
          <w:color w:val="000000"/>
          <w:sz w:val="24"/>
          <w:szCs w:val="24"/>
        </w:rPr>
        <w:t>vonatkozó létszámadatai jövedelemmel szorozva. A sor tartalmazza a bér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F67C5">
        <w:rPr>
          <w:rFonts w:ascii="TimesNewRomanPSMT" w:hAnsi="TimesNewRomanPSMT" w:cs="TimesNewRomanPSMT"/>
          <w:color w:val="000000"/>
          <w:sz w:val="24"/>
          <w:szCs w:val="24"/>
        </w:rPr>
        <w:t>és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F67C5">
        <w:rPr>
          <w:rFonts w:ascii="TimesNewRomanPSMT" w:hAnsi="TimesNewRomanPSMT" w:cs="TimesNewRomanPSMT"/>
          <w:color w:val="000000"/>
          <w:sz w:val="24"/>
          <w:szCs w:val="24"/>
        </w:rPr>
        <w:t>járulékadatokon kívül a munkaruha és orvosi vizsgálat költségeit is.</w:t>
      </w:r>
    </w:p>
    <w:p w:rsidR="00066DA0" w:rsidRDefault="00066DA0" w:rsidP="006F67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35</w:t>
      </w:r>
      <w:r w:rsidRPr="006F67C5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Pr="006F67C5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33+34. sor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36 </w:t>
      </w:r>
      <w:r w:rsidRPr="006F67C5">
        <w:rPr>
          <w:rFonts w:ascii="TimesNewRomanPSMT" w:hAnsi="TimesNewRomanPSMT" w:cs="TimesNewRomanPSMT"/>
          <w:color w:val="000000"/>
          <w:sz w:val="24"/>
          <w:szCs w:val="24"/>
        </w:rPr>
        <w:t>teljes bevétel 2%-a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66DA0" w:rsidRDefault="00066DA0" w:rsidP="006F67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37</w:t>
      </w:r>
      <w:r w:rsidRPr="006F67C5">
        <w:rPr>
          <w:rFonts w:ascii="TimesNewRomanPSMT" w:hAnsi="TimesNewRomanPSMT" w:cs="TimesNewRomanPSMT"/>
          <w:sz w:val="20"/>
          <w:szCs w:val="20"/>
        </w:rPr>
        <w:t xml:space="preserve"> </w:t>
      </w:r>
      <w:r w:rsidRPr="006F67C5">
        <w:rPr>
          <w:rFonts w:ascii="TimesNewRomanPSMT" w:hAnsi="TimesNewRomanPSMT" w:cs="TimesNewRomanPSMT"/>
          <w:color w:val="000000"/>
          <w:sz w:val="24"/>
          <w:szCs w:val="24"/>
        </w:rPr>
        <w:t>kéménytisztítás, vízminta vizsgálat, mosatás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rovar- és rágcsálóirtás, lift </w:t>
      </w:r>
      <w:r w:rsidRPr="006F67C5">
        <w:rPr>
          <w:rFonts w:ascii="TimesNewRomanPSMT" w:hAnsi="TimesNewRomanPSMT" w:cs="TimesNewRomanPSMT"/>
          <w:color w:val="000000"/>
          <w:sz w:val="24"/>
          <w:szCs w:val="24"/>
        </w:rPr>
        <w:t>karbantartás, tűzoltó készülék karbantartás, munka- és tűzvédelmi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F67C5">
        <w:rPr>
          <w:rFonts w:ascii="TimesNewRomanPSMT" w:hAnsi="TimesNewRomanPSMT" w:cs="TimesNewRomanPSMT"/>
          <w:color w:val="000000"/>
          <w:sz w:val="24"/>
          <w:szCs w:val="24"/>
        </w:rPr>
        <w:t>szolgáltatás, szoftver licenc felügyelet, fénymásoló karbantartás, éves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F67C5">
        <w:rPr>
          <w:rFonts w:ascii="TimesNewRomanPSMT" w:hAnsi="TimesNewRomanPSMT" w:cs="TimesNewRomanPSMT"/>
          <w:color w:val="000000"/>
          <w:sz w:val="24"/>
          <w:szCs w:val="24"/>
        </w:rPr>
        <w:t>felvonó fővizsgálat, tűzjelző berendezés, gázjelző, gáznyomás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F67C5">
        <w:rPr>
          <w:rFonts w:ascii="TimesNewRomanPSMT" w:hAnsi="TimesNewRomanPSMT" w:cs="TimesNewRomanPSMT"/>
          <w:color w:val="000000"/>
          <w:sz w:val="24"/>
          <w:szCs w:val="24"/>
        </w:rPr>
        <w:t>szabályozó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F67C5">
        <w:rPr>
          <w:rFonts w:ascii="TimesNewRomanPSMT" w:hAnsi="TimesNewRomanPSMT" w:cs="TimesNewRomanPSMT"/>
          <w:color w:val="000000"/>
          <w:sz w:val="24"/>
          <w:szCs w:val="24"/>
        </w:rPr>
        <w:t>berendezések karbantartása, szobazár karbantartás, szemétszállítás, terven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F67C5">
        <w:rPr>
          <w:rFonts w:ascii="TimesNewRomanPSMT" w:hAnsi="TimesNewRomanPSMT" w:cs="TimesNewRomanPSMT"/>
          <w:color w:val="000000"/>
          <w:sz w:val="24"/>
          <w:szCs w:val="24"/>
        </w:rPr>
        <w:t>felüli karbantartás számított értékeinek összege</w:t>
      </w:r>
    </w:p>
    <w:p w:rsidR="00066DA0" w:rsidRDefault="00066DA0" w:rsidP="006F67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38</w:t>
      </w:r>
      <w:r w:rsidRPr="006F67C5">
        <w:rPr>
          <w:rFonts w:ascii="TimesNewRomanPSMT" w:hAnsi="TimesNewRomanPSMT" w:cs="TimesNewRomanPSMT"/>
          <w:sz w:val="20"/>
          <w:szCs w:val="20"/>
        </w:rPr>
        <w:t xml:space="preserve"> </w:t>
      </w:r>
      <w:r w:rsidRPr="006F67C5">
        <w:rPr>
          <w:rFonts w:ascii="TimesNewRomanPSMT" w:hAnsi="TimesNewRomanPSMT" w:cs="TimesNewRomanPSMT"/>
          <w:color w:val="000000"/>
          <w:sz w:val="24"/>
          <w:szCs w:val="24"/>
        </w:rPr>
        <w:t>"Hotel Gara létszámadatok 2012" segédtábla karbantartás, fenntartásra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39 </w:t>
      </w:r>
      <w:r w:rsidRPr="006F67C5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36+37+38. sor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40 </w:t>
      </w:r>
      <w:r w:rsidRPr="006F67C5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teljes bevétel 3%-a (tapasztalati adat)</w:t>
      </w:r>
    </w:p>
    <w:p w:rsidR="00066DA0" w:rsidRDefault="00066DA0" w:rsidP="00D860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066DA0" w:rsidRDefault="00066DA0" w:rsidP="006F67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41 </w:t>
      </w:r>
      <w:r w:rsidRPr="006F67C5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lásd: "ENERGIA, KÖZÜZEM KÖLTS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ÉGEI - HOTEL GARA 2012" </w:t>
      </w:r>
      <w:r w:rsidRPr="006F67C5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segédtábla</w:t>
      </w:r>
    </w:p>
    <w:p w:rsidR="00066DA0" w:rsidRDefault="00066DA0" w:rsidP="006F67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066DA0" w:rsidRDefault="00066DA0" w:rsidP="006F67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42 </w:t>
      </w:r>
      <w:r w:rsidRPr="006F67C5"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>32+35+39+40+41. sor</w:t>
      </w:r>
    </w:p>
    <w:p w:rsidR="00066DA0" w:rsidRDefault="00066DA0" w:rsidP="006F67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 xml:space="preserve">43 </w:t>
      </w:r>
      <w:r w:rsidRPr="006F67C5"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>25-42. sor</w:t>
      </w:r>
    </w:p>
    <w:p w:rsidR="00066DA0" w:rsidRDefault="00066DA0" w:rsidP="006F67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 xml:space="preserve">44 </w:t>
      </w:r>
      <w:r w:rsidRPr="006F67C5"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>lásd: "FIX KÖLTSÉGEK - HOTEL GARA 2012" segédtábla</w:t>
      </w:r>
    </w:p>
    <w:p w:rsidR="00066DA0" w:rsidRDefault="00066DA0" w:rsidP="006F67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>45</w:t>
      </w:r>
      <w:r w:rsidRPr="006F67C5">
        <w:rPr>
          <w:rFonts w:ascii="TimesNewRomanPSMT" w:hAnsi="TimesNewRomanPSMT" w:cs="TimesNewRomanPSMT"/>
          <w:sz w:val="20"/>
          <w:szCs w:val="20"/>
        </w:rPr>
        <w:t xml:space="preserve"> </w:t>
      </w:r>
      <w:r w:rsidRPr="006F67C5"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>lásd: "FIX KÖLTSÉGEK - HOTEL GARA 2012" segédtábla</w:t>
      </w:r>
    </w:p>
    <w:p w:rsidR="00066DA0" w:rsidRDefault="00066DA0" w:rsidP="006F67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 xml:space="preserve">46 </w:t>
      </w:r>
      <w:r w:rsidRPr="00346E0F"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>lásd: "FIX KÖLTSÉGEK - HOTEL GARA 2012" segédtábla</w:t>
      </w:r>
    </w:p>
    <w:p w:rsidR="00066DA0" w:rsidRDefault="00066DA0" w:rsidP="006F67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 xml:space="preserve">47 </w:t>
      </w:r>
      <w:r w:rsidRPr="00346E0F"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>lásd: "FIX KÖLTSÉGEK - HOTEL GARA 2012" segédtábla</w:t>
      </w:r>
    </w:p>
    <w:p w:rsidR="00066DA0" w:rsidRDefault="00066DA0" w:rsidP="006F67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 xml:space="preserve">48 </w:t>
      </w:r>
      <w:r w:rsidRPr="00346E0F"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>lásd: "FIX KÖLTSÉGEK - HOTEL GARA 2012" segédtábla</w:t>
      </w:r>
    </w:p>
    <w:p w:rsidR="00066DA0" w:rsidRDefault="00066DA0" w:rsidP="006F67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>49</w:t>
      </w:r>
      <w:r w:rsidRPr="00346E0F">
        <w:rPr>
          <w:rFonts w:ascii="TimesNewRomanPSMT" w:hAnsi="TimesNewRomanPSMT" w:cs="TimesNewRomanPSMT"/>
          <w:sz w:val="20"/>
          <w:szCs w:val="20"/>
        </w:rPr>
        <w:t xml:space="preserve"> </w:t>
      </w:r>
      <w:r w:rsidRPr="00346E0F"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>lásd: "FIX KÖLTSÉGEK - HOTEL GARA 2012" segédtábla</w:t>
      </w:r>
    </w:p>
    <w:p w:rsidR="00066DA0" w:rsidRDefault="00066DA0" w:rsidP="006F67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>50</w:t>
      </w:r>
      <w:r w:rsidRPr="00346E0F">
        <w:rPr>
          <w:rFonts w:ascii="TimesNewRomanPSMT" w:hAnsi="TimesNewRomanPSMT" w:cs="TimesNewRomanPSMT"/>
          <w:sz w:val="20"/>
          <w:szCs w:val="20"/>
        </w:rPr>
        <w:t xml:space="preserve"> </w:t>
      </w:r>
      <w:r w:rsidRPr="00346E0F"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>lásd: "FIX KÖLTSÉGEK - HOTEL GARA 2012" segédtábla</w:t>
      </w:r>
    </w:p>
    <w:p w:rsidR="00066DA0" w:rsidRDefault="00066DA0" w:rsidP="006F67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 xml:space="preserve">51 </w:t>
      </w:r>
      <w:r w:rsidRPr="00346E0F"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>tartalék előre nem látható eseményekre</w:t>
      </w:r>
    </w:p>
    <w:p w:rsidR="00066DA0" w:rsidRDefault="00066DA0" w:rsidP="006F67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 xml:space="preserve">52 </w:t>
      </w:r>
      <w:r w:rsidRPr="00346E0F"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>44+45+46+47+48+49+50+51. sor</w:t>
      </w:r>
    </w:p>
    <w:p w:rsidR="00066DA0" w:rsidRDefault="00066DA0" w:rsidP="006F67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 xml:space="preserve">53 </w:t>
      </w:r>
      <w:r w:rsidRPr="00346E0F"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>43-53. sor</w:t>
      </w:r>
    </w:p>
    <w:p w:rsidR="00066DA0" w:rsidRDefault="00066DA0" w:rsidP="00346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 xml:space="preserve">54 </w:t>
      </w:r>
      <w:r w:rsidRPr="00346E0F"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>lásd: "PÉNZÜGYI MŰVELET</w:t>
      </w:r>
      <w:r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 xml:space="preserve">EK EREDMÉNYE - HOTEL GARA 2012" </w:t>
      </w:r>
      <w:r w:rsidRPr="00346E0F"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>segédtábla</w:t>
      </w:r>
    </w:p>
    <w:p w:rsidR="00066DA0" w:rsidRDefault="00066DA0" w:rsidP="00346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 xml:space="preserve">55 </w:t>
      </w:r>
      <w:r w:rsidRPr="00346E0F"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>lásd: "PÉNZÜGYI MŰVELET</w:t>
      </w:r>
      <w:r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 xml:space="preserve">EK EREDMÉNYE - HOTEL GARA 2012" </w:t>
      </w:r>
      <w:r w:rsidRPr="00346E0F"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>segédtábla</w:t>
      </w:r>
    </w:p>
    <w:p w:rsidR="00066DA0" w:rsidRDefault="00066DA0" w:rsidP="00346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 xml:space="preserve">56 </w:t>
      </w:r>
      <w:r w:rsidRPr="00346E0F"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>54-55. sor</w:t>
      </w:r>
    </w:p>
    <w:p w:rsidR="00066DA0" w:rsidRDefault="00066DA0" w:rsidP="00346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 xml:space="preserve">57 </w:t>
      </w:r>
      <w:r w:rsidRPr="00346E0F"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>53+56. sor</w:t>
      </w:r>
    </w:p>
    <w:p w:rsidR="00066DA0" w:rsidRDefault="00066DA0" w:rsidP="00346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 xml:space="preserve">58 </w:t>
      </w:r>
      <w:r w:rsidRPr="00346E0F"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>pozitív adózás előtti eredmény (57. sor) esetén ennek 10%-</w:t>
      </w:r>
      <w:r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 xml:space="preserve">a. Ha az </w:t>
      </w:r>
      <w:r w:rsidRPr="00346E0F"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>éves bevétel meghaladja az 500 millió Ft-ot, akkor 500 millió Ft alatt</w:t>
      </w:r>
      <w:r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 xml:space="preserve"> </w:t>
      </w:r>
      <w:r w:rsidRPr="00346E0F"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>10%, felette pedig 18% az adó.</w:t>
      </w:r>
    </w:p>
    <w:p w:rsidR="00066DA0" w:rsidRDefault="00066DA0" w:rsidP="00346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 xml:space="preserve">59 </w:t>
      </w:r>
      <w:r w:rsidRPr="00346E0F"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>57-58+49. sor</w:t>
      </w:r>
    </w:p>
    <w:p w:rsidR="00066DA0" w:rsidRDefault="00066DA0" w:rsidP="00346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 xml:space="preserve">60 </w:t>
      </w:r>
      <w:r w:rsidRPr="00346E0F"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>Cash-Flow éves összegei göngyölítve</w:t>
      </w:r>
    </w:p>
    <w:p w:rsidR="00066DA0" w:rsidRPr="00346E0F" w:rsidRDefault="00066DA0" w:rsidP="00346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 xml:space="preserve">61 </w:t>
      </w:r>
      <w:r w:rsidRPr="00346E0F"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>65/64. sor</w:t>
      </w:r>
    </w:p>
    <w:p w:rsidR="00066DA0" w:rsidRDefault="00066DA0" w:rsidP="006F67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sectPr w:rsidR="00066DA0" w:rsidSect="00701D60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DA0" w:rsidRDefault="00066DA0" w:rsidP="005262CE">
      <w:pPr>
        <w:spacing w:after="0" w:line="240" w:lineRule="auto"/>
      </w:pPr>
      <w:r>
        <w:separator/>
      </w:r>
    </w:p>
  </w:endnote>
  <w:endnote w:type="continuationSeparator" w:id="1">
    <w:p w:rsidR="00066DA0" w:rsidRDefault="00066DA0" w:rsidP="0052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,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DA0" w:rsidRDefault="00066DA0" w:rsidP="0008714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:rsidR="00066DA0" w:rsidRDefault="00066DA0" w:rsidP="00701D6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DA0" w:rsidRDefault="00066DA0" w:rsidP="005262CE">
      <w:pPr>
        <w:spacing w:after="0" w:line="240" w:lineRule="auto"/>
      </w:pPr>
      <w:r>
        <w:separator/>
      </w:r>
    </w:p>
  </w:footnote>
  <w:footnote w:type="continuationSeparator" w:id="1">
    <w:p w:rsidR="00066DA0" w:rsidRDefault="00066DA0" w:rsidP="00526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5C18"/>
    <w:multiLevelType w:val="hybridMultilevel"/>
    <w:tmpl w:val="F17A8264"/>
    <w:lvl w:ilvl="0" w:tplc="040E0001">
      <w:start w:val="1"/>
      <w:numFmt w:val="bullet"/>
      <w:lvlText w:val=""/>
      <w:lvlJc w:val="left"/>
      <w:pPr>
        <w:ind w:left="78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94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10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 w:hint="default"/>
      </w:rPr>
    </w:lvl>
  </w:abstractNum>
  <w:abstractNum w:abstractNumId="1">
    <w:nsid w:val="5C487CFD"/>
    <w:multiLevelType w:val="hybridMultilevel"/>
    <w:tmpl w:val="2EB89C7C"/>
    <w:lvl w:ilvl="0" w:tplc="040E0001">
      <w:start w:val="1"/>
      <w:numFmt w:val="bullet"/>
      <w:lvlText w:val=""/>
      <w:lvlJc w:val="left"/>
      <w:pPr>
        <w:ind w:left="78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94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10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 w:hint="default"/>
      </w:rPr>
    </w:lvl>
  </w:abstractNum>
  <w:abstractNum w:abstractNumId="2">
    <w:nsid w:val="7B676A80"/>
    <w:multiLevelType w:val="multilevel"/>
    <w:tmpl w:val="1304F0A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23F"/>
    <w:rsid w:val="0001467C"/>
    <w:rsid w:val="00066DA0"/>
    <w:rsid w:val="00067E39"/>
    <w:rsid w:val="00070AB9"/>
    <w:rsid w:val="00087143"/>
    <w:rsid w:val="001257F0"/>
    <w:rsid w:val="00125ECA"/>
    <w:rsid w:val="00132647"/>
    <w:rsid w:val="00137302"/>
    <w:rsid w:val="00145F61"/>
    <w:rsid w:val="002616C5"/>
    <w:rsid w:val="00267590"/>
    <w:rsid w:val="002B2763"/>
    <w:rsid w:val="00340F66"/>
    <w:rsid w:val="00346E0F"/>
    <w:rsid w:val="003760A1"/>
    <w:rsid w:val="003E0842"/>
    <w:rsid w:val="003F3DE2"/>
    <w:rsid w:val="00492A59"/>
    <w:rsid w:val="004C180D"/>
    <w:rsid w:val="004C4A5E"/>
    <w:rsid w:val="00511140"/>
    <w:rsid w:val="005262CE"/>
    <w:rsid w:val="0055488C"/>
    <w:rsid w:val="005F73AE"/>
    <w:rsid w:val="00610ADF"/>
    <w:rsid w:val="006C4DBD"/>
    <w:rsid w:val="006D04BA"/>
    <w:rsid w:val="006E110A"/>
    <w:rsid w:val="006E42EF"/>
    <w:rsid w:val="006F67C5"/>
    <w:rsid w:val="00701D60"/>
    <w:rsid w:val="00741A04"/>
    <w:rsid w:val="00764C4E"/>
    <w:rsid w:val="00765790"/>
    <w:rsid w:val="00776A59"/>
    <w:rsid w:val="00783D72"/>
    <w:rsid w:val="007D2F66"/>
    <w:rsid w:val="008104D0"/>
    <w:rsid w:val="00837019"/>
    <w:rsid w:val="00896D10"/>
    <w:rsid w:val="008B323F"/>
    <w:rsid w:val="00932B4D"/>
    <w:rsid w:val="009B5E57"/>
    <w:rsid w:val="009C4DF4"/>
    <w:rsid w:val="009F2B45"/>
    <w:rsid w:val="00A6588B"/>
    <w:rsid w:val="00B13BBB"/>
    <w:rsid w:val="00B901FC"/>
    <w:rsid w:val="00BA5C97"/>
    <w:rsid w:val="00BB5073"/>
    <w:rsid w:val="00C52229"/>
    <w:rsid w:val="00CF3149"/>
    <w:rsid w:val="00CF7FCC"/>
    <w:rsid w:val="00D11367"/>
    <w:rsid w:val="00D86042"/>
    <w:rsid w:val="00E03DAD"/>
    <w:rsid w:val="00E41912"/>
    <w:rsid w:val="00F7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0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0842"/>
    <w:pPr>
      <w:ind w:left="720"/>
    </w:pPr>
  </w:style>
  <w:style w:type="table" w:styleId="TableGrid">
    <w:name w:val="Table Grid"/>
    <w:basedOn w:val="TableNormal"/>
    <w:uiPriority w:val="99"/>
    <w:rsid w:val="003E084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62CE"/>
  </w:style>
  <w:style w:type="paragraph" w:styleId="Footer">
    <w:name w:val="footer"/>
    <w:basedOn w:val="Normal"/>
    <w:link w:val="FooterChar"/>
    <w:uiPriority w:val="99"/>
    <w:rsid w:val="005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262CE"/>
  </w:style>
  <w:style w:type="paragraph" w:styleId="BalloonText">
    <w:name w:val="Balloon Text"/>
    <w:basedOn w:val="Normal"/>
    <w:link w:val="BalloonTextChar"/>
    <w:uiPriority w:val="99"/>
    <w:semiHidden/>
    <w:rsid w:val="009B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5E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701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otel@kitnet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22</Pages>
  <Words>4938</Words>
  <Characters>-32766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THERMAL HOTEL GARA*** GYÓGY-ÉS WELLNESS SZÁLLODA</dc:title>
  <dc:subject/>
  <dc:creator>Medical2</dc:creator>
  <cp:keywords/>
  <dc:description/>
  <cp:lastModifiedBy>Fehér Lászlóné</cp:lastModifiedBy>
  <cp:revision>3</cp:revision>
  <cp:lastPrinted>2014-02-06T13:54:00Z</cp:lastPrinted>
  <dcterms:created xsi:type="dcterms:W3CDTF">2014-02-06T13:42:00Z</dcterms:created>
  <dcterms:modified xsi:type="dcterms:W3CDTF">2014-02-06T13:56:00Z</dcterms:modified>
</cp:coreProperties>
</file>